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27" w:rsidRPr="008D23E3" w:rsidRDefault="00085327" w:rsidP="003C5B75">
      <w:pPr>
        <w:pStyle w:val="En-ttedetabledesmatires"/>
        <w:jc w:val="right"/>
        <w:outlineLvl w:val="0"/>
        <w:rPr>
          <w:b w:val="0"/>
          <w:bCs w:val="0"/>
          <w:color w:val="auto"/>
          <w:rtl/>
          <w:lang w:bidi="ar-DZ"/>
        </w:rPr>
      </w:pPr>
      <w:r>
        <w:rPr>
          <w:rFonts w:hint="cs"/>
          <w:b w:val="0"/>
          <w:bCs w:val="0"/>
          <w:color w:val="auto"/>
          <w:rtl/>
          <w:lang w:bidi="ar-DZ"/>
        </w:rPr>
        <w:t>فهرس المصادر والمراجع:</w:t>
      </w:r>
    </w:p>
    <w:p w:rsidR="00085327" w:rsidRPr="00A77B84" w:rsidRDefault="00085327" w:rsidP="00085327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1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ابن منظور 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( محمد بن مكرم بن منظور الأفريقي)،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لسان العرب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،مجلد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1 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،دار صادر 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–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بيروت،الطبعة الأولى</w:t>
      </w:r>
    </w:p>
    <w:p w:rsidR="00226398" w:rsidRPr="00A77B84" w:rsidRDefault="00085327" w:rsidP="00226398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2-</w:t>
      </w:r>
      <w:r w:rsidR="00226398" w:rsidRPr="00A77B84">
        <w:rPr>
          <w:rFonts w:ascii="Traditional Arabic" w:hAnsi="Traditional Arabic" w:cs="Traditional Arabic"/>
          <w:sz w:val="34"/>
          <w:szCs w:val="34"/>
          <w:rtl/>
        </w:rPr>
        <w:t xml:space="preserve"> الزركشي</w:t>
      </w:r>
      <w:r w:rsidR="00226398"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، (بدرالدين محمد بن عبد الله بن بهادر الزركشي)، </w:t>
      </w:r>
      <w:r w:rsidR="00226398" w:rsidRPr="00A77B84">
        <w:rPr>
          <w:rFonts w:ascii="Traditional Arabic" w:hAnsi="Traditional Arabic" w:cs="Traditional Arabic"/>
          <w:sz w:val="34"/>
          <w:szCs w:val="34"/>
          <w:rtl/>
        </w:rPr>
        <w:t>البرهان في علوم القرآن</w:t>
      </w:r>
      <w:r w:rsidR="00226398" w:rsidRPr="00A77B84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226398" w:rsidRPr="00A77B84" w:rsidRDefault="00226398" w:rsidP="00226398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3-  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>ابن الجزري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،(محمد بن محمد ) 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>منجد المقرئين ومرشد الطالبين.</w:t>
      </w:r>
    </w:p>
    <w:p w:rsidR="00226398" w:rsidRPr="00A77B84" w:rsidRDefault="00226398" w:rsidP="003904C1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4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>السيوطي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>(عبد الرحمن بن كمال جلال الدين السيوطي الشافعي)،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 xml:space="preserve"> الإتقان في علوم القرآن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 ،تحقيق مركزالدراسات القرآنية،مجمع الملك فهد لطباعة المصحف الشريف، المدينة المنورة،1426ه</w:t>
      </w:r>
    </w:p>
    <w:p w:rsidR="003904C1" w:rsidRPr="00A77B84" w:rsidRDefault="00226398" w:rsidP="003904C1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5-</w:t>
      </w:r>
      <w:r w:rsidRPr="00A77B84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w:r w:rsidR="003904C1"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السرخسي، </w:t>
      </w:r>
      <w:r w:rsidR="003904C1" w:rsidRPr="00A77B84">
        <w:rPr>
          <w:rFonts w:ascii="Traditional Arabic" w:hAnsi="Traditional Arabic" w:cs="Traditional Arabic"/>
          <w:sz w:val="34"/>
          <w:szCs w:val="34"/>
          <w:lang w:bidi="ar-DZ"/>
        </w:rPr>
        <w:t>)</w:t>
      </w:r>
      <w:r w:rsidR="003904C1"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شمس الدين أبو بكر محمد بن أبي سهل </w:t>
      </w:r>
      <w:r w:rsidR="003904C1"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السرخسي</w:t>
      </w:r>
      <w:r w:rsidR="003904C1"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)، أصول السرخسي، دار الكتاب العلمية بيروت ط/1، 1414ه-1993م.</w:t>
      </w:r>
    </w:p>
    <w:p w:rsidR="00085327" w:rsidRPr="00A77B84" w:rsidRDefault="003904C1" w:rsidP="00EF1DB8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6-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ابن أمير الحاج (ت879هـ )، التقرير و التحرير في علم الأصول ،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 دار الفكر 1417ه-1996م،بيروت.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السمعاني، (منصور بن محمد بن عبد الجبارالسمعاني التميمي الحنفي ثم الشافعي )، قواطع الأدلة 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،دار الكتب العلمية،بيروت ط/1، 1418ه/1999م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7-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صحيح الإمام مسلم بشرح النووي.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8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عبد الله الشافعي،( بدر الدين محمد بن سهاو ربن عبد الله الشافعي)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9-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الزرقاني، شرح الموطأ.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10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- ابن الحاجب 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(جمال الدين أبو عمرو عثمان)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، منتهى الوصول.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11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-الإمام مالك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(مالك بن أنس بن مالك بن عامر الأصبحي)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الموطأ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،دار النشر.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12-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الجويني (عبد الملك بن عبد الله بن يوسف الجويني أبو المعالي ) ، البرهان في أصول الفقه، 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13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- الغزالي( الإمام أبي حامد محمد بن محمد الغزالي)، المنخول.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14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>-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>ابن عربي،(أبو بكر محمد بن عبد الله)،أحكام القرآن.</w:t>
      </w:r>
    </w:p>
    <w:p w:rsidR="009C0484" w:rsidRPr="00A77B84" w:rsidRDefault="00EF1DB8" w:rsidP="00EF1DB8">
      <w:pPr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15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-الأندلسي، (علي بن أحمد بن حزم الأندلسي)، الإحكام في أصول الأحكام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.</w:t>
      </w:r>
    </w:p>
    <w:p w:rsidR="00EF1DB8" w:rsidRPr="00A77B84" w:rsidRDefault="00EF1DB8" w:rsidP="00EF1DB8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16- الزركشي،(بدر الدين محمد بن عبد الله بن بهادر الزركشي)االبرهان .</w:t>
      </w:r>
    </w:p>
    <w:p w:rsidR="00EF1DB8" w:rsidRPr="00A77B84" w:rsidRDefault="00EF1DB8" w:rsidP="00EF1DB8">
      <w:pPr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17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-الإمام مسلم( أبو الحسين مسلم بن الحجاج بن مسلم القشيري)،صحيح الإمام مسلم بشرح النووي.</w:t>
      </w:r>
    </w:p>
    <w:p w:rsidR="00EF1DB8" w:rsidRPr="00A77B84" w:rsidRDefault="00EF1DB8" w:rsidP="00066E91">
      <w:pPr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18-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ابن النجار ،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(تقي الدين أبو البقاء محمد بن أحمد الفتوحي )</w:t>
      </w:r>
      <w:r w:rsidR="00066E91"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شرح الكوكب المنير</w:t>
      </w:r>
      <w:r w:rsidR="00066E91"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،ط/1، 1413ه.</w:t>
      </w:r>
    </w:p>
    <w:p w:rsidR="00066E91" w:rsidRPr="00A77B84" w:rsidRDefault="00066E91" w:rsidP="00066E91">
      <w:pPr>
        <w:pStyle w:val="Notedebasdepage"/>
        <w:rPr>
          <w:rFonts w:ascii="Traditional Arabic" w:hAnsi="Traditional Arabic" w:cs="Traditional Arabic"/>
          <w:sz w:val="34"/>
          <w:szCs w:val="34"/>
          <w:rtl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19-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 بن حزم ،(علي بن أحمد بن حزم الأندلسي)، 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 xml:space="preserve">الإحكام في أصول الإحكام 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>،ط/1 1404ه.</w:t>
      </w:r>
    </w:p>
    <w:p w:rsidR="00066E91" w:rsidRPr="00A77B84" w:rsidRDefault="00066E91" w:rsidP="00066E91">
      <w:pPr>
        <w:pStyle w:val="Notedebasdepage"/>
        <w:rPr>
          <w:rFonts w:ascii="Traditional Arabic" w:hAnsi="Traditional Arabic" w:cs="Traditional Arabic"/>
          <w:sz w:val="34"/>
          <w:szCs w:val="34"/>
          <w:rtl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20- القراءات الشاذة ضوابطها والاحتجاج بها في الفقه والعربية .</w:t>
      </w:r>
    </w:p>
    <w:p w:rsidR="00066E91" w:rsidRPr="00A77B84" w:rsidRDefault="00066E91" w:rsidP="00066E91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21-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بن امير (امير بن الحاج )،التقرير والتحبير،</w:t>
      </w:r>
    </w:p>
    <w:p w:rsidR="00066E91" w:rsidRPr="00A77B84" w:rsidRDefault="00066E91" w:rsidP="00066E91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 22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-المرداوي(علي بن سليمان) ،الكوكب المنير،بدون طبع.</w:t>
      </w:r>
    </w:p>
    <w:p w:rsidR="00066E91" w:rsidRPr="00A77B84" w:rsidRDefault="00066E91" w:rsidP="00066E91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23- المستصفى(محمد بن محمد الغزالي أبو حامد)، المستصفى في علم الأصول، دار الكتب العلمية ،بيروت.</w:t>
      </w:r>
    </w:p>
    <w:p w:rsidR="00066E91" w:rsidRPr="00A77B84" w:rsidRDefault="00066E91" w:rsidP="00066E91">
      <w:pPr>
        <w:pStyle w:val="Notedebasdepage"/>
        <w:rPr>
          <w:rFonts w:ascii="Traditional Arabic" w:hAnsi="Traditional Arabic" w:cs="Traditional Arabic"/>
          <w:sz w:val="34"/>
          <w:szCs w:val="34"/>
          <w:rtl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24-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 القراءات الشاذة ضوابطها والاحتجاج بها في الفقه والعربية ،دار ابن عفان،ط/1،1429ه/2008م.</w:t>
      </w:r>
    </w:p>
    <w:p w:rsidR="00066E91" w:rsidRPr="00A77B84" w:rsidRDefault="00066E91" w:rsidP="00066E91">
      <w:pPr>
        <w:pStyle w:val="Notedebasdepage"/>
        <w:rPr>
          <w:rFonts w:ascii="Traditional Arabic" w:hAnsi="Traditional Arabic" w:cs="Traditional Arabic"/>
          <w:sz w:val="34"/>
          <w:szCs w:val="34"/>
          <w:rtl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25-</w:t>
      </w:r>
      <w:r w:rsidR="00FD1D5B"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 ابن الجني (أبو الفتح عثمان ابن الجني)، المحتسب في تبيين وجوه شواذ القراءات والإيضاح عنها.</w:t>
      </w:r>
    </w:p>
    <w:p w:rsidR="00FD1D5B" w:rsidRPr="00A77B84" w:rsidRDefault="00FD1D5B" w:rsidP="00FD1D5B">
      <w:pPr>
        <w:pStyle w:val="Notedebasdepage"/>
        <w:rPr>
          <w:rFonts w:ascii="Traditional Arabic" w:hAnsi="Traditional Arabic" w:cs="Traditional Arabic"/>
          <w:sz w:val="34"/>
          <w:szCs w:val="34"/>
          <w:rtl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26-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 xml:space="preserve"> النحوي،( أثير الدين محمد بن يوسف ) تفسير البحر المحيط.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 xml:space="preserve"> دار الكتب العلمية </w:t>
      </w:r>
      <w:r w:rsidRPr="00A77B84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A77B84">
        <w:rPr>
          <w:rFonts w:ascii="Traditional Arabic" w:hAnsi="Traditional Arabic" w:cs="Traditional Arabic" w:hint="cs"/>
          <w:sz w:val="34"/>
          <w:szCs w:val="34"/>
          <w:rtl/>
        </w:rPr>
        <w:t>لبنان-1422ه-2001م،ط/1.</w:t>
      </w:r>
    </w:p>
    <w:p w:rsidR="00FD1D5B" w:rsidRPr="00A77B84" w:rsidRDefault="00FD1D5B" w:rsidP="00FD1D5B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</w:rPr>
        <w:t>27-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النووي (محي الدين أبو زكريا يحي ابن شرف النووي)،المجموع شرح المهذب</w:t>
      </w:r>
    </w:p>
    <w:p w:rsidR="00F44EB7" w:rsidRPr="00A77B84" w:rsidRDefault="00F44EB7" w:rsidP="00FD1D5B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28-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الشوكاني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(محمد بن علي بن محمد الشوكاني) 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،نيل الأوطار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شرح منتقى اللأخبار من أحاديث سيد الأخيار.</w:t>
      </w:r>
    </w:p>
    <w:p w:rsidR="00F44EB7" w:rsidRPr="00A77B84" w:rsidRDefault="00F44EB7" w:rsidP="00A77B84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29-</w:t>
      </w:r>
      <w:r w:rsidR="00A77B84"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الشوكاني ( محمد بن علي بن محمد الشوكاني)، إر</w:t>
      </w:r>
      <w:r w:rsidR="00A77B84"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ش</w:t>
      </w:r>
      <w:r w:rsidR="00A77B84"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>اد الفحول</w:t>
      </w:r>
      <w:r w:rsidR="00A77B84"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،دار الكتاب العربي،ط/1، 1419ه/1999م.</w:t>
      </w:r>
    </w:p>
    <w:p w:rsidR="00A77B84" w:rsidRPr="00A77B84" w:rsidRDefault="00A77B84" w:rsidP="00A77B84">
      <w:pPr>
        <w:pStyle w:val="Notedebasdepage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30-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عثيمين،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(محمد بن صالح بن محمد العثيمين)</w:t>
      </w:r>
      <w:r w:rsidRPr="00A77B8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الشرح الممتع على زاد المستنقع،</w:t>
      </w:r>
      <w:r w:rsidRPr="00A77B84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دار ابن الجوزي،ط/1، 1422ه.</w:t>
      </w:r>
    </w:p>
    <w:p w:rsidR="00A77B84" w:rsidRPr="00A77B84" w:rsidRDefault="00A77B84" w:rsidP="00A77B84">
      <w:pPr>
        <w:pStyle w:val="Notedebasdepage"/>
        <w:rPr>
          <w:rFonts w:ascii="Traditional Arabic" w:hAnsi="Traditional Arabic" w:cs="Traditional Arabic"/>
          <w:sz w:val="34"/>
          <w:szCs w:val="34"/>
          <w:lang w:bidi="ar-DZ"/>
        </w:rPr>
      </w:pPr>
    </w:p>
    <w:p w:rsidR="00FD1D5B" w:rsidRPr="00FD1D5B" w:rsidRDefault="00FD1D5B" w:rsidP="00066E91">
      <w:pPr>
        <w:pStyle w:val="Notedebasdepage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066E91" w:rsidRPr="00066E91" w:rsidRDefault="00066E91" w:rsidP="00066E91">
      <w:pPr>
        <w:pStyle w:val="Notedebasdepage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66E91" w:rsidRPr="00E81879" w:rsidRDefault="00066E91" w:rsidP="00066E91">
      <w:pPr>
        <w:pStyle w:val="Notedebasdepage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066E91" w:rsidRPr="00E81879" w:rsidRDefault="00066E91" w:rsidP="00066E91">
      <w:pPr>
        <w:pStyle w:val="Notedebasdepage"/>
        <w:rPr>
          <w:lang w:bidi="ar-DZ"/>
        </w:rPr>
      </w:pPr>
    </w:p>
    <w:p w:rsidR="00066E91" w:rsidRPr="00066E91" w:rsidRDefault="00066E91" w:rsidP="00066E91">
      <w:pPr>
        <w:rPr>
          <w:rFonts w:ascii="Traditional Arabic" w:hAnsi="Traditional Arabic" w:cs="Traditional Arabic"/>
          <w:sz w:val="34"/>
          <w:szCs w:val="34"/>
          <w:lang w:bidi="ar-DZ"/>
        </w:rPr>
      </w:pPr>
    </w:p>
    <w:sectPr w:rsidR="00066E91" w:rsidRPr="00066E91" w:rsidSect="000C4C4F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70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E0F" w:rsidRDefault="00487E0F" w:rsidP="009B5865">
      <w:r>
        <w:separator/>
      </w:r>
    </w:p>
  </w:endnote>
  <w:endnote w:type="continuationSeparator" w:id="1">
    <w:p w:rsidR="00487E0F" w:rsidRDefault="00487E0F" w:rsidP="009B5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4F" w:rsidRDefault="001511C1">
    <w:pPr>
      <w:pStyle w:val="Pieddepage"/>
    </w:pPr>
    <w:r w:rsidRPr="001511C1">
      <w:rPr>
        <w:rFonts w:ascii="Cambria" w:hAnsi="Cambria"/>
        <w:noProof/>
        <w:sz w:val="28"/>
        <w:szCs w:val="28"/>
        <w:lang w:eastAsia="zh-TW"/>
      </w:rPr>
      <w:pict>
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<v:stroke joinstyle="miter"/>
          <v:formulas>
            <v:f eqn="sum 10800 0 #0"/>
            <v:f eqn="prod @0 32488 32768"/>
            <v:f eqn="prod @0 4277 32768"/>
            <v:f eqn="prod @0 30274 32768"/>
            <v:f eqn="prod @0 12540 32768"/>
            <v:f eqn="prod @0 25997 32768"/>
            <v:f eqn="prod @0 19948 32768"/>
            <v:f eqn="sum @1 10800 0"/>
            <v:f eqn="sum @2 10800 0"/>
            <v:f eqn="sum @3 10800 0"/>
            <v:f eqn="sum @4 10800 0"/>
            <v:f eqn="sum @5 10800 0"/>
            <v:f eqn="sum @6 10800 0"/>
            <v:f eqn="sum 10800 0 @1"/>
            <v:f eqn="sum 10800 0 @2"/>
            <v:f eqn="sum 10800 0 @3"/>
            <v:f eqn="sum 10800 0 @4"/>
            <v:f eqn="sum 10800 0 @5"/>
            <v:f eqn="sum 10800 0 @6"/>
            <v:f eqn="prod @0 23170 32768"/>
            <v:f eqn="sum @19 10800 0"/>
            <v:f eqn="sum 10800 0 @19"/>
          </v:formulas>
          <v:path gradientshapeok="t" o:connecttype="rect" textboxrect="@21,@21,@20,@20"/>
          <v:handles>
            <v:h position="#0,center" xrange="0,10800"/>
          </v:handles>
        </v:shapetype>
        <v:shape id="_x0000_s1025" type="#_x0000_t92" style="position:absolute;left:0;text-align:left;margin-left:266.2pt;margin-top:797.3pt;width:48.8pt;height:33.35pt;rotation:360;z-index:251660288;mso-position-horizontal-relative:page;mso-position-vertical-relative:page" strokecolor="#a5a5a5">
          <v:textbox>
            <w:txbxContent>
              <w:p w:rsidR="000C4C4F" w:rsidRDefault="001511C1">
                <w:pPr>
                  <w:jc w:val="center"/>
                  <w:rPr>
                    <w:lang w:val="fr-FR"/>
                  </w:rPr>
                </w:pPr>
                <w:r>
                  <w:rPr>
                    <w:lang w:val="fr-FR"/>
                  </w:rPr>
                  <w:fldChar w:fldCharType="begin"/>
                </w:r>
                <w:r w:rsidR="00405DAF">
                  <w:rPr>
                    <w:lang w:val="fr-FR"/>
                  </w:rPr>
                  <w:instrText xml:space="preserve"> PAGE    \* MERGEFORMAT </w:instrText>
                </w:r>
                <w:r>
                  <w:rPr>
                    <w:lang w:val="fr-FR"/>
                  </w:rPr>
                  <w:fldChar w:fldCharType="separate"/>
                </w:r>
                <w:r w:rsidR="003C5B75" w:rsidRPr="003C5B75">
                  <w:rPr>
                    <w:noProof/>
                    <w:color w:val="7F7F7F"/>
                    <w:rtl/>
                  </w:rPr>
                  <w:t>1</w:t>
                </w:r>
                <w:r>
                  <w:rPr>
                    <w:lang w:val="fr-FR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E0F" w:rsidRDefault="00487E0F" w:rsidP="009B5865">
      <w:r>
        <w:separator/>
      </w:r>
    </w:p>
  </w:footnote>
  <w:footnote w:type="continuationSeparator" w:id="1">
    <w:p w:rsidR="00487E0F" w:rsidRDefault="00487E0F" w:rsidP="009B5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DF" w:rsidRPr="008B3536" w:rsidRDefault="00405DAF" w:rsidP="000878AE">
    <w:pPr>
      <w:pStyle w:val="En-tte"/>
      <w:jc w:val="center"/>
      <w:rPr>
        <w:rFonts w:cs="Andalus"/>
        <w:b/>
        <w:bCs/>
        <w:sz w:val="32"/>
        <w:szCs w:val="32"/>
        <w:lang w:bidi="ar-DZ"/>
      </w:rPr>
    </w:pPr>
    <w:r>
      <w:rPr>
        <w:rFonts w:cs="Andalus" w:hint="cs"/>
        <w:b/>
        <w:bCs/>
        <w:sz w:val="32"/>
        <w:szCs w:val="32"/>
        <w:rtl/>
        <w:lang w:bidi="ar-DZ"/>
      </w:rPr>
      <w:tab/>
      <w:t xml:space="preserve">              </w:t>
    </w:r>
    <w:r>
      <w:rPr>
        <w:rFonts w:cs="Andalus" w:hint="cs"/>
        <w:b/>
        <w:bCs/>
        <w:sz w:val="32"/>
        <w:szCs w:val="32"/>
        <w:rtl/>
        <w:lang w:bidi="ar-DZ"/>
      </w:rPr>
      <w:tab/>
      <w:t xml:space="preserve">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085327"/>
    <w:rsid w:val="00066E91"/>
    <w:rsid w:val="00085327"/>
    <w:rsid w:val="001511C1"/>
    <w:rsid w:val="00226398"/>
    <w:rsid w:val="003904C1"/>
    <w:rsid w:val="003C5B75"/>
    <w:rsid w:val="00405DAF"/>
    <w:rsid w:val="00487E0F"/>
    <w:rsid w:val="009B5865"/>
    <w:rsid w:val="009C0484"/>
    <w:rsid w:val="00A77B84"/>
    <w:rsid w:val="00A9365D"/>
    <w:rsid w:val="00EF1DB8"/>
    <w:rsid w:val="00F44EB7"/>
    <w:rsid w:val="00FD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3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85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853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5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853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5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8532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53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085327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085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85327"/>
    <w:pPr>
      <w:bidi w:val="0"/>
      <w:spacing w:line="276" w:lineRule="auto"/>
      <w:outlineLvl w:val="9"/>
    </w:pPr>
    <w:rPr>
      <w:rFonts w:ascii="Cambria" w:eastAsia="Times New Roman" w:hAnsi="Cambria" w:cs="Times New Roman"/>
      <w:color w:val="365F91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1289-C1FB-49CB-B4DC-2C2E68A1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2013-06-04T18:00:00Z</dcterms:created>
  <dcterms:modified xsi:type="dcterms:W3CDTF">2013-06-04T22:25:00Z</dcterms:modified>
</cp:coreProperties>
</file>