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F9B20"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noProof/>
          <w:sz w:val="36"/>
          <w:szCs w:val="36"/>
        </w:rPr>
        <w:drawing>
          <wp:anchor distT="0" distB="0" distL="114300" distR="114300" simplePos="0" relativeHeight="251673600" behindDoc="0" locked="0" layoutInCell="1" allowOverlap="1" wp14:anchorId="418ABCE6" wp14:editId="027D8E1D">
            <wp:simplePos x="0" y="0"/>
            <wp:positionH relativeFrom="margin">
              <wp:posOffset>5451475</wp:posOffset>
            </wp:positionH>
            <wp:positionV relativeFrom="margin">
              <wp:posOffset>14605</wp:posOffset>
            </wp:positionV>
            <wp:extent cx="974725" cy="1021080"/>
            <wp:effectExtent l="0" t="0" r="0" b="7620"/>
            <wp:wrapSquare wrapText="bothSides"/>
            <wp:docPr id="20"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4725" cy="1021080"/>
                    </a:xfrm>
                    <a:prstGeom prst="rect">
                      <a:avLst/>
                    </a:prstGeom>
                    <a:noFill/>
                  </pic:spPr>
                </pic:pic>
              </a:graphicData>
            </a:graphic>
            <wp14:sizeRelH relativeFrom="margin">
              <wp14:pctWidth>0</wp14:pctWidth>
            </wp14:sizeRelH>
            <wp14:sizeRelV relativeFrom="margin">
              <wp14:pctHeight>0</wp14:pctHeight>
            </wp14:sizeRelV>
          </wp:anchor>
        </w:drawing>
      </w:r>
      <w:r>
        <w:rPr>
          <w:rFonts w:ascii="Traditional Arabic" w:hAnsi="Traditional Arabic" w:cs="Traditional Arabic"/>
          <w:b/>
          <w:bCs/>
          <w:sz w:val="36"/>
          <w:szCs w:val="36"/>
          <w:rtl/>
          <w:lang w:bidi="ar-DZ"/>
        </w:rPr>
        <w:t>جامعة</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غرداية -</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الجزائر</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w:t>
      </w:r>
    </w:p>
    <w:p w14:paraId="452ED4D8"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كلية العلوم الاقتصادية، التجارية وعلوم التسيير</w:t>
      </w:r>
    </w:p>
    <w:p w14:paraId="30A8417B" w14:textId="77777777" w:rsidR="000D09CA" w:rsidRPr="000D09CA" w:rsidRDefault="000D09CA" w:rsidP="00540437">
      <w:pPr>
        <w:bidi/>
        <w:spacing w:after="0" w:line="240" w:lineRule="auto"/>
        <w:jc w:val="center"/>
        <w:rPr>
          <w:rFonts w:ascii="Traditional Arabic" w:hAnsi="Traditional Arabic" w:cs="Traditional Arabic"/>
          <w:b/>
          <w:bCs/>
          <w:color w:val="000000" w:themeColor="text1"/>
          <w:sz w:val="36"/>
          <w:szCs w:val="36"/>
          <w:rtl/>
          <w:lang w:bidi="ar-DZ"/>
        </w:rPr>
      </w:pPr>
      <w:r>
        <w:rPr>
          <w:rFonts w:ascii="Traditional Arabic" w:hAnsi="Traditional Arabic" w:cs="Traditional Arabic"/>
          <w:b/>
          <w:bCs/>
          <w:sz w:val="36"/>
          <w:szCs w:val="36"/>
          <w:rtl/>
          <w:lang w:bidi="ar-DZ"/>
        </w:rPr>
        <w:t>قسم</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العلوم</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المالية</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والمحاسبة</w:t>
      </w:r>
    </w:p>
    <w:p w14:paraId="41E4CB73"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مذكرة</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مقدمة</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لاستكمال</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متطلبات</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شهادة</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الماستر</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أكاديمي</w:t>
      </w:r>
    </w:p>
    <w:p w14:paraId="015DC45C"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في ميدان: العلوم اقتصادية، علوم التسيير</w:t>
      </w:r>
      <w:r>
        <w:rPr>
          <w:rFonts w:ascii="Traditional Arabic" w:hAnsi="Traditional Arabic" w:cs="Traditional Arabic"/>
          <w:b/>
          <w:bCs/>
          <w:sz w:val="36"/>
          <w:szCs w:val="36"/>
          <w:lang w:bidi="ar-DZ"/>
        </w:rPr>
        <w:t xml:space="preserve"> </w:t>
      </w:r>
      <w:proofErr w:type="gramStart"/>
      <w:r>
        <w:rPr>
          <w:rFonts w:ascii="Traditional Arabic" w:hAnsi="Traditional Arabic" w:cs="Traditional Arabic"/>
          <w:b/>
          <w:bCs/>
          <w:sz w:val="36"/>
          <w:szCs w:val="36"/>
          <w:rtl/>
          <w:lang w:bidi="ar-DZ"/>
        </w:rPr>
        <w:t>و العلوم</w:t>
      </w:r>
      <w:proofErr w:type="gramEnd"/>
      <w:r>
        <w:rPr>
          <w:rFonts w:ascii="Traditional Arabic" w:hAnsi="Traditional Arabic" w:cs="Traditional Arabic"/>
          <w:b/>
          <w:bCs/>
          <w:sz w:val="36"/>
          <w:szCs w:val="36"/>
          <w:rtl/>
          <w:lang w:bidi="ar-DZ"/>
        </w:rPr>
        <w:t xml:space="preserve"> التجارية</w:t>
      </w:r>
    </w:p>
    <w:p w14:paraId="0542BF23" w14:textId="77777777" w:rsidR="000D09CA" w:rsidRPr="000D09CA" w:rsidRDefault="000D09CA" w:rsidP="00540437">
      <w:pPr>
        <w:bidi/>
        <w:spacing w:after="0" w:line="240" w:lineRule="auto"/>
        <w:jc w:val="center"/>
        <w:rPr>
          <w:rFonts w:ascii="Traditional Arabic" w:hAnsi="Traditional Arabic" w:cs="Traditional Arabic"/>
          <w:b/>
          <w:bCs/>
          <w:sz w:val="36"/>
          <w:szCs w:val="36"/>
          <w:rtl/>
        </w:rPr>
      </w:pPr>
      <w:r>
        <w:rPr>
          <w:rFonts w:ascii="Traditional Arabic" w:hAnsi="Traditional Arabic" w:cs="Traditional Arabic"/>
          <w:b/>
          <w:bCs/>
          <w:sz w:val="36"/>
          <w:szCs w:val="36"/>
          <w:rtl/>
          <w:lang w:bidi="ar-DZ"/>
        </w:rPr>
        <w:t>فرع</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علوم</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مالية</w:t>
      </w:r>
      <w:r>
        <w:rPr>
          <w:rFonts w:ascii="Traditional Arabic" w:hAnsi="Traditional Arabic" w:cs="Traditional Arabic"/>
          <w:b/>
          <w:bCs/>
          <w:sz w:val="36"/>
          <w:szCs w:val="36"/>
          <w:lang w:bidi="ar-DZ"/>
        </w:rPr>
        <w:t xml:space="preserve"> </w:t>
      </w:r>
      <w:proofErr w:type="gramStart"/>
      <w:r>
        <w:rPr>
          <w:rFonts w:ascii="Traditional Arabic" w:hAnsi="Traditional Arabic" w:cs="Traditional Arabic"/>
          <w:b/>
          <w:bCs/>
          <w:sz w:val="36"/>
          <w:szCs w:val="36"/>
          <w:rtl/>
          <w:lang w:bidi="ar-DZ"/>
        </w:rPr>
        <w:t>ومحاسبة</w:t>
      </w:r>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w:t>
      </w:r>
      <w:proofErr w:type="gramEnd"/>
      <w:r>
        <w:rPr>
          <w:rFonts w:ascii="Traditional Arabic" w:hAnsi="Traditional Arabic" w:cs="Traditional Arabic"/>
          <w:b/>
          <w:bCs/>
          <w:sz w:val="36"/>
          <w:szCs w:val="36"/>
          <w:lang w:bidi="ar-DZ"/>
        </w:rPr>
        <w:t xml:space="preserve"> </w:t>
      </w:r>
      <w:r>
        <w:rPr>
          <w:rFonts w:ascii="Traditional Arabic" w:hAnsi="Traditional Arabic" w:cs="Traditional Arabic"/>
          <w:b/>
          <w:bCs/>
          <w:sz w:val="36"/>
          <w:szCs w:val="36"/>
          <w:rtl/>
          <w:lang w:bidi="ar-DZ"/>
        </w:rPr>
        <w:t>تخصص: مالية</w:t>
      </w:r>
    </w:p>
    <w:p w14:paraId="6CAB60A7"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بعنوان:</w:t>
      </w:r>
    </w:p>
    <w:p w14:paraId="05A7E230"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r>
        <w:rPr>
          <w:rFonts w:ascii="Traditional Arabic" w:hAnsi="Traditional Arabic" w:cs="Traditional Arabic"/>
          <w:noProof/>
          <w:rtl/>
        </w:rPr>
        <mc:AlternateContent>
          <mc:Choice Requires="wps">
            <w:drawing>
              <wp:anchor distT="0" distB="0" distL="114300" distR="114300" simplePos="0" relativeHeight="251672576" behindDoc="0" locked="0" layoutInCell="1" allowOverlap="1" wp14:anchorId="25C197BF" wp14:editId="0EE7507C">
                <wp:simplePos x="0" y="0"/>
                <wp:positionH relativeFrom="margin">
                  <wp:align>left</wp:align>
                </wp:positionH>
                <wp:positionV relativeFrom="paragraph">
                  <wp:posOffset>146050</wp:posOffset>
                </wp:positionV>
                <wp:extent cx="5886450" cy="1866900"/>
                <wp:effectExtent l="0" t="0" r="19050" b="19050"/>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1866900"/>
                        </a:xfrm>
                        <a:prstGeom prst="roundRect">
                          <a:avLst>
                            <a:gd name="adj" fmla="val 16667"/>
                          </a:avLst>
                        </a:prstGeom>
                        <a:solidFill>
                          <a:srgbClr val="4F81BD">
                            <a:lumMod val="20000"/>
                            <a:lumOff val="80000"/>
                          </a:srgbClr>
                        </a:solidFill>
                        <a:ln w="25400" cap="flat" cmpd="sng" algn="ctr">
                          <a:solidFill>
                            <a:srgbClr val="C0504D"/>
                          </a:solidFill>
                          <a:prstDash val="solid"/>
                          <a:headEnd/>
                          <a:tailEnd/>
                        </a:ln>
                        <a:effectLst/>
                      </wps:spPr>
                      <wps:txbx>
                        <w:txbxContent>
                          <w:p w14:paraId="5DB4232B" w14:textId="77777777" w:rsidR="00524B6F" w:rsidRPr="000D09CA" w:rsidRDefault="00524B6F" w:rsidP="000D09CA">
                            <w:pPr>
                              <w:jc w:val="center"/>
                              <w:rPr>
                                <w:rFonts w:ascii="Traditional Arabic" w:eastAsia="Times New Roman" w:hAnsi="Traditional Arabic" w:cs="Traditional Arabic"/>
                                <w:b/>
                                <w:bCs/>
                                <w:kern w:val="36"/>
                                <w:sz w:val="48"/>
                                <w:szCs w:val="48"/>
                                <w:rtl/>
                              </w:rPr>
                            </w:pPr>
                            <w:r>
                              <w:rPr>
                                <w:rFonts w:ascii="Traditional Arabic" w:eastAsia="Times New Roman" w:hAnsi="Traditional Arabic" w:cs="Traditional Arabic"/>
                                <w:b/>
                                <w:bCs/>
                                <w:kern w:val="36"/>
                                <w:sz w:val="48"/>
                                <w:szCs w:val="48"/>
                                <w:rtl/>
                              </w:rPr>
                              <w:t xml:space="preserve">التوريق كآلية لإدارة المخاطر المصرفية </w:t>
                            </w:r>
                          </w:p>
                          <w:p w14:paraId="62B60754" w14:textId="77777777" w:rsidR="00524B6F" w:rsidRPr="000D09CA" w:rsidRDefault="00524B6F" w:rsidP="000D09CA">
                            <w:pPr>
                              <w:jc w:val="center"/>
                              <w:rPr>
                                <w:rFonts w:ascii="Traditional Arabic" w:eastAsia="Times New Roman" w:hAnsi="Traditional Arabic" w:cs="Traditional Arabic"/>
                                <w:b/>
                                <w:bCs/>
                                <w:kern w:val="36"/>
                                <w:sz w:val="48"/>
                                <w:szCs w:val="48"/>
                                <w:lang w:bidi="ar-DZ"/>
                              </w:rPr>
                            </w:pPr>
                            <w:r>
                              <w:rPr>
                                <w:rFonts w:ascii="Traditional Arabic" w:eastAsia="Times New Roman" w:hAnsi="Traditional Arabic" w:cs="Traditional Arabic"/>
                                <w:b/>
                                <w:bCs/>
                                <w:kern w:val="36"/>
                                <w:sz w:val="48"/>
                                <w:szCs w:val="48"/>
                                <w:rtl/>
                              </w:rPr>
                              <w:t xml:space="preserve">دراسة </w:t>
                            </w:r>
                            <w:proofErr w:type="gramStart"/>
                            <w:r>
                              <w:rPr>
                                <w:rFonts w:ascii="Traditional Arabic" w:eastAsia="Times New Roman" w:hAnsi="Traditional Arabic" w:cs="Traditional Arabic"/>
                                <w:b/>
                                <w:bCs/>
                                <w:kern w:val="36"/>
                                <w:sz w:val="48"/>
                                <w:szCs w:val="48"/>
                                <w:rtl/>
                              </w:rPr>
                              <w:t>حالة :</w:t>
                            </w:r>
                            <w:proofErr w:type="gramEnd"/>
                            <w:r>
                              <w:rPr>
                                <w:rFonts w:ascii="Traditional Arabic" w:eastAsia="Times New Roman" w:hAnsi="Traditional Arabic" w:cs="Traditional Arabic"/>
                                <w:b/>
                                <w:bCs/>
                                <w:kern w:val="36"/>
                                <w:sz w:val="48"/>
                                <w:szCs w:val="48"/>
                                <w:rtl/>
                              </w:rPr>
                              <w:t xml:space="preserve"> </w:t>
                            </w:r>
                            <w:r>
                              <w:rPr>
                                <w:rFonts w:ascii="Traditional Arabic" w:eastAsia="Times New Roman" w:hAnsi="Traditional Arabic" w:cs="Traditional Arabic"/>
                                <w:b/>
                                <w:bCs/>
                                <w:kern w:val="36"/>
                                <w:sz w:val="48"/>
                                <w:szCs w:val="48"/>
                                <w:rtl/>
                                <w:lang w:bidi="ar-DZ"/>
                              </w:rPr>
                              <w:t>بنك الاهلي السعودي</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5C197BF" id="Rounded Rectangle 8" o:spid="_x0000_s1026" style="position:absolute;left:0;text-align:left;margin-left:0;margin-top:11.5pt;width:463.5pt;height:147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" fillcolor="#dce6f2" strokecolor="#c0504d" strokeweight="2pt">
                <v:textbox>
                  <w:txbxContent>
                    <w:p w14:paraId="5DB4232B" w14:textId="77777777" w:rsidR="00524B6F" w:rsidRPr="000D09CA" w:rsidRDefault="00524B6F" w:rsidP="000D09CA">
                      <w:pPr>
                        <w:jc w:val="center"/>
                        <w:rPr>
                          <w:rFonts w:ascii="Traditional Arabic" w:eastAsia="Times New Roman" w:hAnsi="Traditional Arabic" w:cs="Traditional Arabic"/>
                          <w:b/>
                          <w:bCs/>
                          <w:kern w:val="36"/>
                          <w:sz w:val="48"/>
                          <w:szCs w:val="48"/>
                          <w:rtl/>
                        </w:rPr>
                      </w:pPr>
                      <w:r>
                        <w:rPr>
                          <w:rFonts w:ascii="Traditional Arabic" w:eastAsia="Times New Roman" w:hAnsi="Traditional Arabic" w:cs="Traditional Arabic"/>
                          <w:b/>
                          <w:bCs/>
                          <w:kern w:val="36"/>
                          <w:sz w:val="48"/>
                          <w:szCs w:val="48"/>
                          <w:rtl/>
                        </w:rPr>
                        <w:t xml:space="preserve">التوريق كآلية لإدارة المخاطر المصرفية </w:t>
                      </w:r>
                    </w:p>
                    <w:p w14:paraId="62B60754" w14:textId="77777777" w:rsidR="00524B6F" w:rsidRPr="000D09CA" w:rsidRDefault="00524B6F" w:rsidP="000D09CA">
                      <w:pPr>
                        <w:jc w:val="center"/>
                        <w:rPr>
                          <w:rFonts w:ascii="Traditional Arabic" w:eastAsia="Times New Roman" w:hAnsi="Traditional Arabic" w:cs="Traditional Arabic"/>
                          <w:b/>
                          <w:bCs/>
                          <w:kern w:val="36"/>
                          <w:sz w:val="48"/>
                          <w:szCs w:val="48"/>
                          <w:lang w:bidi="ar-DZ"/>
                        </w:rPr>
                      </w:pPr>
                      <w:r>
                        <w:rPr>
                          <w:rFonts w:ascii="Traditional Arabic" w:eastAsia="Times New Roman" w:hAnsi="Traditional Arabic" w:cs="Traditional Arabic"/>
                          <w:b/>
                          <w:bCs/>
                          <w:kern w:val="36"/>
                          <w:sz w:val="48"/>
                          <w:szCs w:val="48"/>
                          <w:rtl/>
                        </w:rPr>
                        <w:t xml:space="preserve">دراسة </w:t>
                      </w:r>
                      <w:proofErr w:type="gramStart"/>
                      <w:r>
                        <w:rPr>
                          <w:rFonts w:ascii="Traditional Arabic" w:eastAsia="Times New Roman" w:hAnsi="Traditional Arabic" w:cs="Traditional Arabic"/>
                          <w:b/>
                          <w:bCs/>
                          <w:kern w:val="36"/>
                          <w:sz w:val="48"/>
                          <w:szCs w:val="48"/>
                          <w:rtl/>
                        </w:rPr>
                        <w:t>حالة :</w:t>
                      </w:r>
                      <w:proofErr w:type="gramEnd"/>
                      <w:r>
                        <w:rPr>
                          <w:rFonts w:ascii="Traditional Arabic" w:eastAsia="Times New Roman" w:hAnsi="Traditional Arabic" w:cs="Traditional Arabic"/>
                          <w:b/>
                          <w:bCs/>
                          <w:kern w:val="36"/>
                          <w:sz w:val="48"/>
                          <w:szCs w:val="48"/>
                          <w:rtl/>
                        </w:rPr>
                        <w:t xml:space="preserve"> </w:t>
                      </w:r>
                      <w:r>
                        <w:rPr>
                          <w:rFonts w:ascii="Traditional Arabic" w:eastAsia="Times New Roman" w:hAnsi="Traditional Arabic" w:cs="Traditional Arabic"/>
                          <w:b/>
                          <w:bCs/>
                          <w:kern w:val="36"/>
                          <w:sz w:val="48"/>
                          <w:szCs w:val="48"/>
                          <w:rtl/>
                          <w:lang w:bidi="ar-DZ"/>
                        </w:rPr>
                        <w:t>بنك الاهلي السعودي</w:t>
                      </w:r>
                    </w:p>
                  </w:txbxContent>
                </v:textbox>
                <w10:wrap anchorx="margin"/>
              </v:roundrect>
            </w:pict>
          </mc:Fallback>
        </mc:AlternateContent>
      </w:r>
    </w:p>
    <w:p w14:paraId="149CF4E0" w14:textId="77777777" w:rsidR="000D09CA" w:rsidRPr="000D09CA" w:rsidRDefault="000D09CA" w:rsidP="00540437">
      <w:pPr>
        <w:bidi/>
        <w:spacing w:after="0" w:line="240" w:lineRule="auto"/>
        <w:rPr>
          <w:rFonts w:ascii="Traditional Arabic" w:hAnsi="Traditional Arabic" w:cs="Traditional Arabic"/>
          <w:sz w:val="36"/>
          <w:szCs w:val="36"/>
          <w:rtl/>
          <w:lang w:bidi="ar-DZ"/>
        </w:rPr>
      </w:pPr>
    </w:p>
    <w:p w14:paraId="646AFA02" w14:textId="77777777" w:rsidR="000D09CA" w:rsidRPr="000D09CA" w:rsidRDefault="000D09CA" w:rsidP="00540437">
      <w:pPr>
        <w:bidi/>
        <w:spacing w:after="0" w:line="240" w:lineRule="auto"/>
        <w:rPr>
          <w:rFonts w:ascii="Traditional Arabic" w:hAnsi="Traditional Arabic" w:cs="Traditional Arabic"/>
          <w:sz w:val="36"/>
          <w:szCs w:val="36"/>
          <w:rtl/>
          <w:lang w:bidi="ar-DZ"/>
        </w:rPr>
      </w:pPr>
    </w:p>
    <w:p w14:paraId="77060740" w14:textId="77777777" w:rsidR="000D09CA" w:rsidRPr="000D09CA" w:rsidRDefault="000D09CA" w:rsidP="00540437">
      <w:pPr>
        <w:bidi/>
        <w:spacing w:after="0" w:line="240" w:lineRule="auto"/>
        <w:rPr>
          <w:rFonts w:ascii="Traditional Arabic" w:hAnsi="Traditional Arabic" w:cs="Traditional Arabic"/>
          <w:sz w:val="36"/>
          <w:szCs w:val="36"/>
          <w:rtl/>
          <w:lang w:bidi="ar-DZ"/>
        </w:rPr>
      </w:pPr>
    </w:p>
    <w:p w14:paraId="3D510B00" w14:textId="77777777" w:rsidR="000D09CA" w:rsidRPr="000D09CA" w:rsidRDefault="000D09CA" w:rsidP="00540437">
      <w:pPr>
        <w:bidi/>
        <w:spacing w:after="0" w:line="240" w:lineRule="auto"/>
        <w:rPr>
          <w:rFonts w:ascii="Traditional Arabic" w:hAnsi="Traditional Arabic" w:cs="Traditional Arabic"/>
          <w:b/>
          <w:bCs/>
          <w:sz w:val="36"/>
          <w:szCs w:val="36"/>
          <w:lang w:bidi="ar-DZ"/>
        </w:rPr>
      </w:pPr>
    </w:p>
    <w:p w14:paraId="691FD670"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p>
    <w:p w14:paraId="057285EB"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r>
        <w:rPr>
          <w:rFonts w:ascii="Traditional Arabic" w:hAnsi="Traditional Arabic" w:cs="Traditional Arabic"/>
          <w:b/>
          <w:bCs/>
          <w:sz w:val="32"/>
          <w:szCs w:val="32"/>
          <w:rtl/>
          <w:lang w:val="fr-FR"/>
        </w:rPr>
        <w:t>من</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إعداد</w:t>
      </w:r>
      <w:r>
        <w:rPr>
          <w:rFonts w:ascii="Traditional Arabic" w:hAnsi="Traditional Arabic" w:cs="Traditional Arabic"/>
          <w:b/>
          <w:bCs/>
          <w:sz w:val="32"/>
          <w:szCs w:val="32"/>
          <w:lang w:val="fr-FR"/>
        </w:rPr>
        <w:t xml:space="preserve"> </w:t>
      </w:r>
      <w:proofErr w:type="gramStart"/>
      <w:r>
        <w:rPr>
          <w:rFonts w:ascii="Traditional Arabic" w:hAnsi="Traditional Arabic" w:cs="Traditional Arabic"/>
          <w:b/>
          <w:bCs/>
          <w:sz w:val="32"/>
          <w:szCs w:val="32"/>
          <w:rtl/>
          <w:lang w:val="fr-FR"/>
        </w:rPr>
        <w:t>الطالب</w:t>
      </w:r>
      <w:r>
        <w:rPr>
          <w:rFonts w:ascii="Traditional Arabic" w:hAnsi="Traditional Arabic" w:cs="Traditional Arabic"/>
          <w:b/>
          <w:bCs/>
          <w:sz w:val="32"/>
          <w:szCs w:val="32"/>
          <w:lang w:val="fr-FR"/>
        </w:rPr>
        <w:t xml:space="preserve">  :</w:t>
      </w:r>
      <w:proofErr w:type="gramEnd"/>
      <w:r>
        <w:rPr>
          <w:rFonts w:ascii="Traditional Arabic" w:hAnsi="Traditional Arabic" w:cs="Traditional Arabic"/>
          <w:b/>
          <w:bCs/>
          <w:sz w:val="36"/>
          <w:szCs w:val="36"/>
          <w:rtl/>
          <w:lang w:bidi="ar-DZ"/>
        </w:rPr>
        <w:t xml:space="preserve">                                                    </w:t>
      </w:r>
      <w:r>
        <w:rPr>
          <w:rFonts w:ascii="Traditional Arabic" w:hAnsi="Traditional Arabic" w:cs="Traditional Arabic"/>
          <w:b/>
          <w:bCs/>
          <w:sz w:val="32"/>
          <w:szCs w:val="32"/>
          <w:rtl/>
          <w:lang w:val="fr-FR"/>
        </w:rPr>
        <w:t>تحت</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اشراف</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الأستاذ:</w:t>
      </w:r>
    </w:p>
    <w:p w14:paraId="15884C2F" w14:textId="77777777" w:rsidR="000D09CA" w:rsidRPr="000D09CA" w:rsidRDefault="000D09CA" w:rsidP="00540437">
      <w:pPr>
        <w:numPr>
          <w:ilvl w:val="0"/>
          <w:numId w:val="50"/>
        </w:numPr>
        <w:bidi/>
        <w:spacing w:after="0" w:line="240" w:lineRule="auto"/>
        <w:contextualSpacing/>
        <w:rPr>
          <w:rFonts w:ascii="Traditional Arabic" w:hAnsi="Traditional Arabic" w:cs="Traditional Arabic"/>
          <w:b/>
          <w:bCs/>
          <w:sz w:val="36"/>
          <w:szCs w:val="36"/>
          <w:rtl/>
          <w:lang w:bidi="ar-DZ"/>
        </w:rPr>
      </w:pPr>
      <w:proofErr w:type="spellStart"/>
      <w:r>
        <w:rPr>
          <w:rFonts w:ascii="Traditional Arabic" w:hAnsi="Traditional Arabic" w:cs="Traditional Arabic"/>
          <w:b/>
          <w:bCs/>
          <w:sz w:val="36"/>
          <w:szCs w:val="36"/>
          <w:rtl/>
          <w:lang w:bidi="ar-DZ"/>
        </w:rPr>
        <w:t>ساسفة</w:t>
      </w:r>
      <w:proofErr w:type="spellEnd"/>
      <w:r>
        <w:rPr>
          <w:rFonts w:ascii="Traditional Arabic" w:hAnsi="Traditional Arabic" w:cs="Traditional Arabic"/>
          <w:b/>
          <w:bCs/>
          <w:sz w:val="36"/>
          <w:szCs w:val="36"/>
          <w:rtl/>
          <w:lang w:bidi="ar-DZ"/>
        </w:rPr>
        <w:t xml:space="preserve"> محمد                                                         -د/ بن جواد مسعود</w:t>
      </w:r>
    </w:p>
    <w:p w14:paraId="28DF6950"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p>
    <w:p w14:paraId="1DD7EB6B"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p>
    <w:p w14:paraId="7F6F3B0A" w14:textId="66438B3D" w:rsidR="000D09CA" w:rsidRPr="000D09CA" w:rsidRDefault="000D09CA" w:rsidP="00540437">
      <w:pPr>
        <w:autoSpaceDE w:val="0"/>
        <w:autoSpaceDN w:val="0"/>
        <w:bidi/>
        <w:adjustRightInd w:val="0"/>
        <w:spacing w:after="0" w:line="240" w:lineRule="auto"/>
        <w:jc w:val="center"/>
        <w:rPr>
          <w:rFonts w:ascii="Traditional Arabic" w:hAnsi="Traditional Arabic" w:cs="Traditional Arabic"/>
          <w:b/>
          <w:bCs/>
          <w:sz w:val="32"/>
          <w:szCs w:val="32"/>
          <w:rtl/>
          <w:lang w:val="fr-FR"/>
        </w:rPr>
      </w:pPr>
      <w:r>
        <w:rPr>
          <w:rFonts w:ascii="Traditional Arabic" w:hAnsi="Traditional Arabic" w:cs="Traditional Arabic"/>
          <w:b/>
          <w:bCs/>
          <w:sz w:val="32"/>
          <w:szCs w:val="32"/>
          <w:rtl/>
          <w:lang w:val="fr-FR"/>
        </w:rPr>
        <w:t>نوقشت</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وأجيزت</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علنا</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 xml:space="preserve">بتاريخ: </w:t>
      </w:r>
      <w:r w:rsidR="00D429C1">
        <w:rPr>
          <w:rFonts w:ascii="Traditional Arabic" w:hAnsi="Traditional Arabic" w:cs="Traditional Arabic" w:hint="cs"/>
          <w:b/>
          <w:bCs/>
          <w:sz w:val="32"/>
          <w:szCs w:val="32"/>
          <w:rtl/>
          <w:lang w:val="fr-FR"/>
        </w:rPr>
        <w:t>01</w:t>
      </w:r>
      <w:r>
        <w:rPr>
          <w:rFonts w:ascii="Traditional Arabic" w:hAnsi="Traditional Arabic" w:cs="Traditional Arabic"/>
          <w:b/>
          <w:bCs/>
          <w:sz w:val="32"/>
          <w:szCs w:val="32"/>
          <w:rtl/>
          <w:lang w:val="fr-FR"/>
        </w:rPr>
        <w:t>/</w:t>
      </w:r>
      <w:r w:rsidR="00D429C1">
        <w:rPr>
          <w:rFonts w:ascii="Traditional Arabic" w:hAnsi="Traditional Arabic" w:cs="Traditional Arabic" w:hint="cs"/>
          <w:b/>
          <w:bCs/>
          <w:sz w:val="32"/>
          <w:szCs w:val="32"/>
          <w:rtl/>
          <w:lang w:val="fr-FR"/>
        </w:rPr>
        <w:t>06</w:t>
      </w:r>
      <w:r>
        <w:rPr>
          <w:rFonts w:ascii="Traditional Arabic" w:hAnsi="Traditional Arabic" w:cs="Traditional Arabic"/>
          <w:b/>
          <w:bCs/>
          <w:sz w:val="32"/>
          <w:szCs w:val="32"/>
          <w:rtl/>
          <w:lang w:val="fr-FR"/>
        </w:rPr>
        <w:t>/2026</w:t>
      </w:r>
    </w:p>
    <w:p w14:paraId="6938E04C" w14:textId="77777777" w:rsidR="000D09CA" w:rsidRPr="000D09CA" w:rsidRDefault="000D09CA" w:rsidP="00540437">
      <w:pPr>
        <w:autoSpaceDE w:val="0"/>
        <w:autoSpaceDN w:val="0"/>
        <w:bidi/>
        <w:adjustRightInd w:val="0"/>
        <w:spacing w:after="0" w:line="240" w:lineRule="auto"/>
        <w:jc w:val="center"/>
        <w:rPr>
          <w:rFonts w:ascii="Traditional Arabic" w:eastAsia="Calibri" w:hAnsi="Traditional Arabic" w:cs="Traditional Arabic"/>
          <w:b/>
          <w:bCs/>
          <w:sz w:val="36"/>
          <w:szCs w:val="36"/>
          <w:lang w:bidi="ar-DZ"/>
        </w:rPr>
      </w:pPr>
      <w:r>
        <w:rPr>
          <w:rFonts w:ascii="Traditional Arabic" w:hAnsi="Traditional Arabic" w:cs="Traditional Arabic"/>
          <w:b/>
          <w:bCs/>
          <w:sz w:val="32"/>
          <w:szCs w:val="32"/>
          <w:rtl/>
          <w:lang w:val="fr-FR"/>
        </w:rPr>
        <w:t>أمام</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اللجنة</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المكونة</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من</w:t>
      </w:r>
      <w:r>
        <w:rPr>
          <w:rFonts w:ascii="Traditional Arabic" w:hAnsi="Traditional Arabic" w:cs="Traditional Arabic"/>
          <w:b/>
          <w:bCs/>
          <w:sz w:val="32"/>
          <w:szCs w:val="32"/>
          <w:lang w:val="fr-FR"/>
        </w:rPr>
        <w:t xml:space="preserve"> </w:t>
      </w:r>
      <w:proofErr w:type="gramStart"/>
      <w:r>
        <w:rPr>
          <w:rFonts w:ascii="Traditional Arabic" w:hAnsi="Traditional Arabic" w:cs="Traditional Arabic"/>
          <w:b/>
          <w:bCs/>
          <w:sz w:val="32"/>
          <w:szCs w:val="32"/>
          <w:rtl/>
          <w:lang w:val="fr-FR"/>
        </w:rPr>
        <w:t>السادة</w:t>
      </w:r>
      <w:r>
        <w:rPr>
          <w:rFonts w:ascii="Traditional Arabic" w:hAnsi="Traditional Arabic" w:cs="Traditional Arabic"/>
          <w:b/>
          <w:bCs/>
          <w:sz w:val="32"/>
          <w:szCs w:val="32"/>
          <w:lang w:val="fr-FR"/>
        </w:rPr>
        <w:t xml:space="preserve"> :</w:t>
      </w:r>
      <w:proofErr w:type="gramEnd"/>
    </w:p>
    <w:tbl>
      <w:tblPr>
        <w:tblStyle w:val="Grilledutableau61"/>
        <w:bidiVisual/>
        <w:tblW w:w="0" w:type="auto"/>
        <w:tblInd w:w="954" w:type="dxa"/>
        <w:tblLook w:val="04A0" w:firstRow="1" w:lastRow="0" w:firstColumn="1" w:lastColumn="0" w:noHBand="0" w:noVBand="1"/>
      </w:tblPr>
      <w:tblGrid>
        <w:gridCol w:w="2132"/>
        <w:gridCol w:w="2053"/>
        <w:gridCol w:w="2122"/>
        <w:gridCol w:w="1756"/>
      </w:tblGrid>
      <w:tr w:rsidR="00584F16" w:rsidRPr="000D09CA" w14:paraId="30423AD8" w14:textId="77777777" w:rsidTr="00E54090">
        <w:tc>
          <w:tcPr>
            <w:tcW w:w="218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F2B1CDE" w14:textId="77777777" w:rsidR="00584F16" w:rsidRPr="000D09CA" w:rsidRDefault="00584F16" w:rsidP="00E54090">
            <w:pPr>
              <w:bidi/>
              <w:jc w:val="center"/>
              <w:rPr>
                <w:rFonts w:ascii="Traditional Arabic" w:hAnsi="Traditional Arabic" w:cs="Traditional Arabic"/>
                <w:b/>
                <w:bCs/>
                <w:sz w:val="36"/>
                <w:szCs w:val="36"/>
                <w:lang w:bidi="ar-DZ"/>
              </w:rPr>
            </w:pPr>
            <w:proofErr w:type="spellStart"/>
            <w:r w:rsidRPr="000D09CA">
              <w:rPr>
                <w:rFonts w:ascii="Traditional Arabic" w:hAnsi="Traditional Arabic" w:cs="Traditional Arabic"/>
                <w:b/>
                <w:bCs/>
                <w:sz w:val="36"/>
                <w:szCs w:val="36"/>
                <w:rtl/>
                <w:lang w:bidi="ar-DZ"/>
              </w:rPr>
              <w:t>الإسم</w:t>
            </w:r>
            <w:proofErr w:type="spellEnd"/>
            <w:r w:rsidRPr="000D09CA">
              <w:rPr>
                <w:rFonts w:ascii="Traditional Arabic" w:hAnsi="Traditional Arabic" w:cs="Traditional Arabic"/>
                <w:b/>
                <w:bCs/>
                <w:sz w:val="36"/>
                <w:szCs w:val="36"/>
                <w:rtl/>
                <w:lang w:bidi="ar-DZ"/>
              </w:rPr>
              <w:t xml:space="preserve"> واللقب</w:t>
            </w:r>
          </w:p>
        </w:tc>
        <w:tc>
          <w:tcPr>
            <w:tcW w:w="211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FF2806" w14:textId="77777777" w:rsidR="00584F16" w:rsidRPr="000D09CA" w:rsidRDefault="00584F16" w:rsidP="00E54090">
            <w:pPr>
              <w:bidi/>
              <w:jc w:val="center"/>
              <w:rPr>
                <w:rFonts w:ascii="Traditional Arabic" w:hAnsi="Traditional Arabic" w:cs="Traditional Arabic"/>
                <w:b/>
                <w:bCs/>
                <w:sz w:val="36"/>
                <w:szCs w:val="36"/>
                <w:rtl/>
                <w:lang w:bidi="ar-DZ"/>
              </w:rPr>
            </w:pPr>
            <w:r w:rsidRPr="00881593">
              <w:rPr>
                <w:rFonts w:ascii="Traditional Arabic" w:hAnsi="Traditional Arabic" w:cs="Traditional Arabic"/>
                <w:b/>
                <w:bCs/>
                <w:sz w:val="36"/>
                <w:szCs w:val="36"/>
                <w:rtl/>
                <w:lang w:bidi="ar-DZ"/>
              </w:rPr>
              <w:t>الرتبة</w:t>
            </w:r>
          </w:p>
        </w:tc>
        <w:tc>
          <w:tcPr>
            <w:tcW w:w="218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EAF2A92" w14:textId="77777777" w:rsidR="00584F16" w:rsidRPr="000D09CA" w:rsidRDefault="00584F16" w:rsidP="00E54090">
            <w:pPr>
              <w:bidi/>
              <w:jc w:val="center"/>
              <w:rPr>
                <w:rFonts w:ascii="Traditional Arabic" w:hAnsi="Traditional Arabic" w:cs="Traditional Arabic"/>
                <w:b/>
                <w:bCs/>
                <w:sz w:val="36"/>
                <w:szCs w:val="36"/>
                <w:rtl/>
                <w:lang w:bidi="ar-DZ"/>
              </w:rPr>
            </w:pPr>
            <w:r w:rsidRPr="000D09CA">
              <w:rPr>
                <w:rFonts w:ascii="Traditional Arabic" w:hAnsi="Traditional Arabic" w:cs="Traditional Arabic"/>
                <w:b/>
                <w:bCs/>
                <w:sz w:val="36"/>
                <w:szCs w:val="36"/>
                <w:rtl/>
                <w:lang w:bidi="ar-DZ"/>
              </w:rPr>
              <w:t>الجامعة</w:t>
            </w:r>
          </w:p>
        </w:tc>
        <w:tc>
          <w:tcPr>
            <w:tcW w:w="180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1010C50" w14:textId="77777777" w:rsidR="00584F16" w:rsidRPr="000D09CA" w:rsidRDefault="00584F16" w:rsidP="00E54090">
            <w:pPr>
              <w:bidi/>
              <w:jc w:val="center"/>
              <w:rPr>
                <w:rFonts w:ascii="Traditional Arabic" w:hAnsi="Traditional Arabic" w:cs="Traditional Arabic"/>
                <w:b/>
                <w:bCs/>
                <w:sz w:val="36"/>
                <w:szCs w:val="36"/>
                <w:rtl/>
                <w:lang w:bidi="ar-DZ"/>
              </w:rPr>
            </w:pPr>
            <w:r w:rsidRPr="000D09CA">
              <w:rPr>
                <w:rFonts w:ascii="Traditional Arabic" w:hAnsi="Traditional Arabic" w:cs="Traditional Arabic"/>
                <w:b/>
                <w:bCs/>
                <w:sz w:val="36"/>
                <w:szCs w:val="36"/>
                <w:rtl/>
                <w:lang w:bidi="ar-DZ"/>
              </w:rPr>
              <w:t>الصفة</w:t>
            </w:r>
          </w:p>
        </w:tc>
      </w:tr>
      <w:tr w:rsidR="00584F16" w:rsidRPr="000D09CA" w14:paraId="50A6D6D5" w14:textId="77777777" w:rsidTr="00E54090">
        <w:tc>
          <w:tcPr>
            <w:tcW w:w="2188" w:type="dxa"/>
            <w:tcBorders>
              <w:top w:val="single" w:sz="4" w:space="0" w:color="auto"/>
              <w:left w:val="single" w:sz="4" w:space="0" w:color="auto"/>
              <w:bottom w:val="single" w:sz="4" w:space="0" w:color="auto"/>
              <w:right w:val="single" w:sz="4" w:space="0" w:color="auto"/>
            </w:tcBorders>
            <w:vAlign w:val="center"/>
          </w:tcPr>
          <w:p w14:paraId="77D84BE1" w14:textId="77777777" w:rsidR="00584F16" w:rsidRPr="000D09CA" w:rsidRDefault="00584F16" w:rsidP="00E54090">
            <w:pPr>
              <w:bidi/>
              <w:jc w:val="center"/>
              <w:rPr>
                <w:rFonts w:ascii="Traditional Arabic" w:hAnsi="Traditional Arabic" w:cs="Traditional Arabic"/>
                <w:sz w:val="36"/>
                <w:szCs w:val="36"/>
                <w:rtl/>
                <w:lang w:bidi="ar-DZ"/>
              </w:rPr>
            </w:pPr>
            <w:r w:rsidRPr="000F3330">
              <w:rPr>
                <w:rFonts w:ascii="Traditional Arabic" w:hAnsi="Traditional Arabic" w:cs="Traditional Arabic" w:hint="cs"/>
                <w:b/>
                <w:bCs/>
                <w:sz w:val="24"/>
                <w:szCs w:val="24"/>
                <w:rtl/>
              </w:rPr>
              <w:t>الشيخ بن قايد</w:t>
            </w:r>
          </w:p>
        </w:tc>
        <w:tc>
          <w:tcPr>
            <w:tcW w:w="2117" w:type="dxa"/>
            <w:tcBorders>
              <w:top w:val="single" w:sz="4" w:space="0" w:color="auto"/>
              <w:left w:val="single" w:sz="4" w:space="0" w:color="auto"/>
              <w:bottom w:val="single" w:sz="4" w:space="0" w:color="auto"/>
              <w:right w:val="single" w:sz="4" w:space="0" w:color="auto"/>
            </w:tcBorders>
            <w:vAlign w:val="center"/>
          </w:tcPr>
          <w:p w14:paraId="3FE3E7A8"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محاضر</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w:t>
            </w:r>
          </w:p>
        </w:tc>
        <w:tc>
          <w:tcPr>
            <w:tcW w:w="2182" w:type="dxa"/>
            <w:tcBorders>
              <w:top w:val="single" w:sz="4" w:space="0" w:color="auto"/>
              <w:left w:val="single" w:sz="4" w:space="0" w:color="auto"/>
              <w:bottom w:val="single" w:sz="4" w:space="0" w:color="auto"/>
              <w:right w:val="single" w:sz="4" w:space="0" w:color="auto"/>
            </w:tcBorders>
            <w:vAlign w:val="center"/>
          </w:tcPr>
          <w:p w14:paraId="253AE7AF" w14:textId="77777777" w:rsidR="00584F16" w:rsidRPr="000D09CA" w:rsidRDefault="00584F16" w:rsidP="00E54090">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غرداية</w:t>
            </w:r>
          </w:p>
        </w:tc>
        <w:tc>
          <w:tcPr>
            <w:tcW w:w="1802" w:type="dxa"/>
            <w:tcBorders>
              <w:top w:val="single" w:sz="4" w:space="0" w:color="auto"/>
              <w:left w:val="single" w:sz="4" w:space="0" w:color="auto"/>
              <w:bottom w:val="single" w:sz="4" w:space="0" w:color="auto"/>
              <w:right w:val="single" w:sz="4" w:space="0" w:color="auto"/>
            </w:tcBorders>
            <w:vAlign w:val="center"/>
          </w:tcPr>
          <w:p w14:paraId="5FD6DB45"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رئيسا</w:t>
            </w:r>
          </w:p>
        </w:tc>
      </w:tr>
      <w:tr w:rsidR="00584F16" w:rsidRPr="000D09CA" w14:paraId="5E95F828" w14:textId="77777777" w:rsidTr="00E54090">
        <w:tc>
          <w:tcPr>
            <w:tcW w:w="2188" w:type="dxa"/>
            <w:tcBorders>
              <w:top w:val="single" w:sz="4" w:space="0" w:color="auto"/>
              <w:left w:val="single" w:sz="4" w:space="0" w:color="auto"/>
              <w:bottom w:val="single" w:sz="4" w:space="0" w:color="auto"/>
              <w:right w:val="single" w:sz="4" w:space="0" w:color="auto"/>
            </w:tcBorders>
            <w:vAlign w:val="center"/>
          </w:tcPr>
          <w:p w14:paraId="2B8C9162"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مسعود بن جواد</w:t>
            </w:r>
          </w:p>
        </w:tc>
        <w:tc>
          <w:tcPr>
            <w:tcW w:w="2117" w:type="dxa"/>
            <w:tcBorders>
              <w:top w:val="single" w:sz="4" w:space="0" w:color="auto"/>
              <w:left w:val="single" w:sz="4" w:space="0" w:color="auto"/>
              <w:bottom w:val="single" w:sz="4" w:space="0" w:color="auto"/>
              <w:right w:val="single" w:sz="4" w:space="0" w:color="auto"/>
            </w:tcBorders>
            <w:vAlign w:val="center"/>
          </w:tcPr>
          <w:p w14:paraId="4AB21493"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محاضر</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w:t>
            </w:r>
          </w:p>
        </w:tc>
        <w:tc>
          <w:tcPr>
            <w:tcW w:w="2182" w:type="dxa"/>
            <w:tcBorders>
              <w:top w:val="single" w:sz="4" w:space="0" w:color="auto"/>
              <w:left w:val="single" w:sz="4" w:space="0" w:color="auto"/>
              <w:bottom w:val="single" w:sz="4" w:space="0" w:color="auto"/>
              <w:right w:val="single" w:sz="4" w:space="0" w:color="auto"/>
            </w:tcBorders>
          </w:tcPr>
          <w:p w14:paraId="2CCC192E" w14:textId="77777777" w:rsidR="00584F16" w:rsidRDefault="00584F16" w:rsidP="00E54090">
            <w:pPr>
              <w:jc w:val="center"/>
            </w:pPr>
            <w:r w:rsidRPr="00116333">
              <w:rPr>
                <w:rFonts w:ascii="Traditional Arabic" w:hAnsi="Traditional Arabic" w:cs="Traditional Arabic" w:hint="cs"/>
                <w:sz w:val="36"/>
                <w:szCs w:val="36"/>
                <w:rtl/>
                <w:lang w:bidi="ar-DZ"/>
              </w:rPr>
              <w:t>غرداية</w:t>
            </w:r>
          </w:p>
        </w:tc>
        <w:tc>
          <w:tcPr>
            <w:tcW w:w="1802" w:type="dxa"/>
            <w:tcBorders>
              <w:top w:val="single" w:sz="4" w:space="0" w:color="auto"/>
              <w:left w:val="single" w:sz="4" w:space="0" w:color="auto"/>
              <w:bottom w:val="single" w:sz="4" w:space="0" w:color="auto"/>
              <w:right w:val="single" w:sz="4" w:space="0" w:color="auto"/>
            </w:tcBorders>
            <w:vAlign w:val="center"/>
          </w:tcPr>
          <w:p w14:paraId="2CEEC205"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مشرفا</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ومقرر</w:t>
            </w:r>
          </w:p>
        </w:tc>
      </w:tr>
      <w:tr w:rsidR="00584F16" w:rsidRPr="000D09CA" w14:paraId="5E519CDF" w14:textId="77777777" w:rsidTr="00E54090">
        <w:tc>
          <w:tcPr>
            <w:tcW w:w="2188" w:type="dxa"/>
            <w:tcBorders>
              <w:top w:val="single" w:sz="4" w:space="0" w:color="auto"/>
              <w:left w:val="single" w:sz="4" w:space="0" w:color="auto"/>
              <w:bottom w:val="single" w:sz="4" w:space="0" w:color="auto"/>
              <w:right w:val="single" w:sz="4" w:space="0" w:color="auto"/>
            </w:tcBorders>
            <w:vAlign w:val="center"/>
          </w:tcPr>
          <w:p w14:paraId="3A5DF52B" w14:textId="77777777" w:rsidR="00584F16" w:rsidRPr="000D09CA" w:rsidRDefault="00584F16" w:rsidP="00E54090">
            <w:pPr>
              <w:bidi/>
              <w:jc w:val="center"/>
              <w:rPr>
                <w:rFonts w:ascii="Traditional Arabic" w:hAnsi="Traditional Arabic" w:cs="Traditional Arabic"/>
                <w:sz w:val="36"/>
                <w:szCs w:val="36"/>
                <w:rtl/>
                <w:lang w:bidi="ar-DZ"/>
              </w:rPr>
            </w:pPr>
            <w:r w:rsidRPr="000F3330">
              <w:rPr>
                <w:rFonts w:ascii="Traditional Arabic" w:hAnsi="Traditional Arabic" w:cs="Traditional Arabic" w:hint="cs"/>
                <w:b/>
                <w:bCs/>
                <w:sz w:val="24"/>
                <w:szCs w:val="24"/>
                <w:rtl/>
              </w:rPr>
              <w:t xml:space="preserve">ليلى </w:t>
            </w:r>
            <w:proofErr w:type="spellStart"/>
            <w:r w:rsidRPr="000F3330">
              <w:rPr>
                <w:rFonts w:ascii="Traditional Arabic" w:hAnsi="Traditional Arabic" w:cs="Traditional Arabic" w:hint="cs"/>
                <w:b/>
                <w:bCs/>
                <w:sz w:val="24"/>
                <w:szCs w:val="24"/>
                <w:rtl/>
              </w:rPr>
              <w:t>أولادابراهيم</w:t>
            </w:r>
            <w:proofErr w:type="spellEnd"/>
          </w:p>
        </w:tc>
        <w:tc>
          <w:tcPr>
            <w:tcW w:w="2117" w:type="dxa"/>
            <w:tcBorders>
              <w:top w:val="single" w:sz="4" w:space="0" w:color="auto"/>
              <w:left w:val="single" w:sz="4" w:space="0" w:color="auto"/>
              <w:bottom w:val="single" w:sz="4" w:space="0" w:color="auto"/>
              <w:right w:val="single" w:sz="4" w:space="0" w:color="auto"/>
            </w:tcBorders>
            <w:vAlign w:val="center"/>
          </w:tcPr>
          <w:p w14:paraId="419335E8"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محاضر</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w:t>
            </w:r>
          </w:p>
        </w:tc>
        <w:tc>
          <w:tcPr>
            <w:tcW w:w="2182" w:type="dxa"/>
            <w:tcBorders>
              <w:top w:val="single" w:sz="4" w:space="0" w:color="auto"/>
              <w:left w:val="single" w:sz="4" w:space="0" w:color="auto"/>
              <w:bottom w:val="single" w:sz="4" w:space="0" w:color="auto"/>
              <w:right w:val="single" w:sz="4" w:space="0" w:color="auto"/>
            </w:tcBorders>
          </w:tcPr>
          <w:p w14:paraId="4787E377" w14:textId="77777777" w:rsidR="00584F16" w:rsidRDefault="00584F16" w:rsidP="00E54090">
            <w:pPr>
              <w:jc w:val="center"/>
            </w:pPr>
            <w:r w:rsidRPr="00116333">
              <w:rPr>
                <w:rFonts w:ascii="Traditional Arabic" w:hAnsi="Traditional Arabic" w:cs="Traditional Arabic" w:hint="cs"/>
                <w:sz w:val="36"/>
                <w:szCs w:val="36"/>
                <w:rtl/>
                <w:lang w:bidi="ar-DZ"/>
              </w:rPr>
              <w:t>غرداية</w:t>
            </w:r>
          </w:p>
        </w:tc>
        <w:tc>
          <w:tcPr>
            <w:tcW w:w="1802" w:type="dxa"/>
            <w:tcBorders>
              <w:top w:val="single" w:sz="4" w:space="0" w:color="auto"/>
              <w:left w:val="single" w:sz="4" w:space="0" w:color="auto"/>
              <w:bottom w:val="single" w:sz="4" w:space="0" w:color="auto"/>
              <w:right w:val="single" w:sz="4" w:space="0" w:color="auto"/>
            </w:tcBorders>
            <w:vAlign w:val="center"/>
          </w:tcPr>
          <w:p w14:paraId="432E326F"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مناقشا</w:t>
            </w:r>
          </w:p>
        </w:tc>
      </w:tr>
    </w:tbl>
    <w:p w14:paraId="03D2A6A7" w14:textId="77777777" w:rsidR="000D09CA" w:rsidRPr="000D09CA" w:rsidRDefault="000D09CA" w:rsidP="00540437">
      <w:pPr>
        <w:bidi/>
        <w:spacing w:after="0" w:line="240" w:lineRule="auto"/>
        <w:jc w:val="center"/>
        <w:rPr>
          <w:rFonts w:ascii="Traditional Arabic" w:hAnsi="Traditional Arabic" w:cs="Traditional Arabic"/>
          <w:b/>
          <w:bCs/>
          <w:sz w:val="32"/>
          <w:szCs w:val="32"/>
          <w:rtl/>
          <w:lang w:val="fr-FR"/>
        </w:rPr>
      </w:pPr>
    </w:p>
    <w:p w14:paraId="4350055F"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sz w:val="32"/>
          <w:szCs w:val="32"/>
          <w:rtl/>
          <w:lang w:val="fr-FR"/>
        </w:rPr>
        <w:t>السنة</w:t>
      </w:r>
      <w:r>
        <w:rPr>
          <w:rFonts w:ascii="Traditional Arabic" w:hAnsi="Traditional Arabic" w:cs="Traditional Arabic"/>
          <w:b/>
          <w:bCs/>
          <w:sz w:val="32"/>
          <w:szCs w:val="32"/>
          <w:lang w:val="fr-FR"/>
        </w:rPr>
        <w:t xml:space="preserve"> </w:t>
      </w:r>
      <w:r>
        <w:rPr>
          <w:rFonts w:ascii="Traditional Arabic" w:hAnsi="Traditional Arabic" w:cs="Traditional Arabic"/>
          <w:b/>
          <w:bCs/>
          <w:sz w:val="32"/>
          <w:szCs w:val="32"/>
          <w:rtl/>
          <w:lang w:val="fr-FR"/>
        </w:rPr>
        <w:t>الجامعية</w:t>
      </w:r>
      <w:r>
        <w:rPr>
          <w:rFonts w:ascii="Traditional Arabic" w:hAnsi="Traditional Arabic" w:cs="Traditional Arabic"/>
          <w:b/>
          <w:bCs/>
          <w:sz w:val="32"/>
          <w:szCs w:val="32"/>
          <w:lang w:val="fr-FR"/>
        </w:rPr>
        <w:t>:</w:t>
      </w:r>
      <w:r>
        <w:rPr>
          <w:rFonts w:ascii="Traditional Arabic" w:hAnsi="Traditional Arabic" w:cs="Traditional Arabic"/>
          <w:b/>
          <w:bCs/>
          <w:sz w:val="32"/>
          <w:szCs w:val="32"/>
          <w:rtl/>
          <w:lang w:val="fr-FR"/>
        </w:rPr>
        <w:t xml:space="preserve"> </w:t>
      </w:r>
      <w:r>
        <w:rPr>
          <w:rFonts w:ascii="Traditional Arabic" w:hAnsi="Traditional Arabic" w:cs="Traditional Arabic"/>
          <w:b/>
          <w:bCs/>
          <w:sz w:val="36"/>
          <w:szCs w:val="36"/>
          <w:rtl/>
          <w:lang w:bidi="ar-DZ"/>
        </w:rPr>
        <w:t>2026/2025</w:t>
      </w:r>
    </w:p>
    <w:p w14:paraId="6FEAE9E5"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p>
    <w:p w14:paraId="221BF4F9" w14:textId="77777777" w:rsidR="00282CEF" w:rsidRDefault="00282CEF" w:rsidP="00540437">
      <w:pPr>
        <w:bidi/>
        <w:spacing w:after="0" w:line="240" w:lineRule="auto"/>
        <w:ind w:left="785"/>
        <w:contextualSpacing/>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br w:type="page"/>
      </w:r>
    </w:p>
    <w:p w14:paraId="2591B4D3"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noProof/>
          <w:sz w:val="36"/>
          <w:szCs w:val="36"/>
        </w:rPr>
        <w:lastRenderedPageBreak/>
        <w:drawing>
          <wp:anchor distT="0" distB="0" distL="114300" distR="114300" simplePos="0" relativeHeight="251676672" behindDoc="0" locked="0" layoutInCell="1" allowOverlap="1" wp14:anchorId="5B076436" wp14:editId="459C4A2D">
            <wp:simplePos x="0" y="0"/>
            <wp:positionH relativeFrom="margin">
              <wp:posOffset>5451475</wp:posOffset>
            </wp:positionH>
            <wp:positionV relativeFrom="margin">
              <wp:posOffset>14605</wp:posOffset>
            </wp:positionV>
            <wp:extent cx="974725" cy="1021080"/>
            <wp:effectExtent l="0" t="0" r="0" b="7620"/>
            <wp:wrapSquare wrapText="bothSides"/>
            <wp:docPr id="10"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4725" cy="1021080"/>
                    </a:xfrm>
                    <a:prstGeom prst="rect">
                      <a:avLst/>
                    </a:prstGeom>
                    <a:noFill/>
                  </pic:spPr>
                </pic:pic>
              </a:graphicData>
            </a:graphic>
            <wp14:sizeRelH relativeFrom="margin">
              <wp14:pctWidth>0</wp14:pctWidth>
            </wp14:sizeRelH>
            <wp14:sizeRelV relativeFrom="margin">
              <wp14:pctHeight>0</wp14:pctHeight>
            </wp14:sizeRelV>
          </wp:anchor>
        </w:drawing>
      </w:r>
      <w:r>
        <w:rPr>
          <w:rFonts w:ascii="Traditional Arabic" w:hAnsi="Traditional Arabic" w:cs="Traditional Arabic" w:hint="cs"/>
          <w:b/>
          <w:bCs/>
          <w:sz w:val="36"/>
          <w:szCs w:val="36"/>
          <w:rtl/>
          <w:lang w:bidi="ar-DZ"/>
        </w:rPr>
        <w:t>جامعة</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غرداية -</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الجزائر</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w:t>
      </w:r>
    </w:p>
    <w:p w14:paraId="61D2B740"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 xml:space="preserve">كلية العلوم </w:t>
      </w:r>
      <w:r>
        <w:rPr>
          <w:rFonts w:ascii="Traditional Arabic" w:hAnsi="Traditional Arabic" w:cs="Traditional Arabic" w:hint="cs"/>
          <w:b/>
          <w:bCs/>
          <w:sz w:val="36"/>
          <w:szCs w:val="36"/>
          <w:rtl/>
          <w:lang w:bidi="ar-DZ"/>
        </w:rPr>
        <w:t>الاقتصادية، التجاري</w:t>
      </w:r>
      <w:r>
        <w:rPr>
          <w:rFonts w:ascii="Traditional Arabic" w:hAnsi="Traditional Arabic" w:cs="Traditional Arabic" w:hint="eastAsia"/>
          <w:b/>
          <w:bCs/>
          <w:sz w:val="36"/>
          <w:szCs w:val="36"/>
          <w:rtl/>
          <w:lang w:bidi="ar-DZ"/>
        </w:rPr>
        <w:t>ة</w:t>
      </w:r>
      <w:r>
        <w:rPr>
          <w:rFonts w:ascii="Traditional Arabic" w:hAnsi="Traditional Arabic" w:cs="Traditional Arabic"/>
          <w:b/>
          <w:bCs/>
          <w:sz w:val="36"/>
          <w:szCs w:val="36"/>
          <w:rtl/>
          <w:lang w:bidi="ar-DZ"/>
        </w:rPr>
        <w:t xml:space="preserve"> وعلوم التسيير</w:t>
      </w:r>
    </w:p>
    <w:p w14:paraId="6BCCFFB8" w14:textId="77777777" w:rsidR="000D09CA" w:rsidRPr="000D09CA" w:rsidRDefault="000D09CA" w:rsidP="00540437">
      <w:pPr>
        <w:bidi/>
        <w:spacing w:after="0" w:line="240" w:lineRule="auto"/>
        <w:jc w:val="center"/>
        <w:rPr>
          <w:rFonts w:ascii="Traditional Arabic" w:hAnsi="Traditional Arabic" w:cs="Traditional Arabic"/>
          <w:b/>
          <w:bCs/>
          <w:color w:val="000000" w:themeColor="text1"/>
          <w:sz w:val="36"/>
          <w:szCs w:val="36"/>
          <w:rtl/>
          <w:lang w:bidi="ar-DZ"/>
        </w:rPr>
      </w:pPr>
      <w:r>
        <w:rPr>
          <w:rFonts w:ascii="Traditional Arabic" w:hAnsi="Traditional Arabic" w:cs="Traditional Arabic" w:hint="cs"/>
          <w:b/>
          <w:bCs/>
          <w:sz w:val="36"/>
          <w:szCs w:val="36"/>
          <w:rtl/>
          <w:lang w:bidi="ar-DZ"/>
        </w:rPr>
        <w:t>قسم</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العلوم</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المالية</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والمحاسبة</w:t>
      </w:r>
    </w:p>
    <w:p w14:paraId="327B1E25"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مذكرة</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مقدمة</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لاستكمال</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متطلبات</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شهادة</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الماستر</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أكاديمي</w:t>
      </w:r>
    </w:p>
    <w:p w14:paraId="38404549"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في ميدان: العلوم اقتصادية</w:t>
      </w:r>
      <w:r>
        <w:rPr>
          <w:rFonts w:ascii="Traditional Arabic" w:hAnsi="Traditional Arabic" w:cs="Traditional Arabic" w:hint="cs"/>
          <w:b/>
          <w:bCs/>
          <w:sz w:val="36"/>
          <w:szCs w:val="36"/>
          <w:rtl/>
          <w:lang w:bidi="ar-DZ"/>
        </w:rPr>
        <w:t>،</w:t>
      </w:r>
      <w:r>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علوم التسيير</w:t>
      </w:r>
      <w:r>
        <w:rPr>
          <w:rFonts w:ascii="Traditional Arabic" w:hAnsi="Traditional Arabic" w:cs="Traditional Arabic"/>
          <w:b/>
          <w:bCs/>
          <w:sz w:val="36"/>
          <w:szCs w:val="36"/>
          <w:lang w:bidi="ar-DZ"/>
        </w:rPr>
        <w:t xml:space="preserve"> </w:t>
      </w:r>
      <w:proofErr w:type="gramStart"/>
      <w:r>
        <w:rPr>
          <w:rFonts w:ascii="Traditional Arabic" w:hAnsi="Traditional Arabic" w:cs="Traditional Arabic" w:hint="cs"/>
          <w:b/>
          <w:bCs/>
          <w:sz w:val="36"/>
          <w:szCs w:val="36"/>
          <w:rtl/>
          <w:lang w:bidi="ar-DZ"/>
        </w:rPr>
        <w:t>و العلوم</w:t>
      </w:r>
      <w:proofErr w:type="gramEnd"/>
      <w:r>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التجارية</w:t>
      </w:r>
    </w:p>
    <w:p w14:paraId="14AEE52D" w14:textId="77777777" w:rsidR="000D09CA" w:rsidRPr="000D09CA" w:rsidRDefault="000D09CA" w:rsidP="00540437">
      <w:pPr>
        <w:bidi/>
        <w:spacing w:after="0" w:line="240"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lang w:bidi="ar-DZ"/>
        </w:rPr>
        <w:t>فرع</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علوم</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مالية</w:t>
      </w:r>
      <w:r>
        <w:rPr>
          <w:rFonts w:ascii="Traditional Arabic" w:hAnsi="Traditional Arabic" w:cs="Traditional Arabic"/>
          <w:b/>
          <w:bCs/>
          <w:sz w:val="36"/>
          <w:szCs w:val="36"/>
          <w:lang w:bidi="ar-DZ"/>
        </w:rPr>
        <w:t xml:space="preserve"> </w:t>
      </w:r>
      <w:proofErr w:type="gramStart"/>
      <w:r>
        <w:rPr>
          <w:rFonts w:ascii="Traditional Arabic" w:hAnsi="Traditional Arabic" w:cs="Traditional Arabic" w:hint="cs"/>
          <w:b/>
          <w:bCs/>
          <w:sz w:val="36"/>
          <w:szCs w:val="36"/>
          <w:rtl/>
          <w:lang w:bidi="ar-DZ"/>
        </w:rPr>
        <w:t>ومحاسبة</w:t>
      </w:r>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w:t>
      </w:r>
      <w:proofErr w:type="gramEnd"/>
      <w:r>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تخصص</w:t>
      </w:r>
      <w:r>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مالية</w:t>
      </w:r>
    </w:p>
    <w:p w14:paraId="149AB928"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بعنوان:</w:t>
      </w:r>
    </w:p>
    <w:p w14:paraId="0EBDE3CA"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r>
        <w:rPr>
          <w:noProof/>
          <w:rtl/>
        </w:rPr>
        <mc:AlternateContent>
          <mc:Choice Requires="wps">
            <w:drawing>
              <wp:anchor distT="0" distB="0" distL="114300" distR="114300" simplePos="0" relativeHeight="251675648" behindDoc="0" locked="0" layoutInCell="1" allowOverlap="1" wp14:anchorId="17D68308" wp14:editId="1B6D85DA">
                <wp:simplePos x="0" y="0"/>
                <wp:positionH relativeFrom="margin">
                  <wp:align>left</wp:align>
                </wp:positionH>
                <wp:positionV relativeFrom="paragraph">
                  <wp:posOffset>146050</wp:posOffset>
                </wp:positionV>
                <wp:extent cx="5886450" cy="1866900"/>
                <wp:effectExtent l="0" t="0" r="19050" b="1905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1866900"/>
                        </a:xfrm>
                        <a:prstGeom prst="roundRect">
                          <a:avLst>
                            <a:gd name="adj" fmla="val 16667"/>
                          </a:avLst>
                        </a:prstGeom>
                        <a:solidFill>
                          <a:srgbClr val="4F81BD">
                            <a:lumMod val="20000"/>
                            <a:lumOff val="80000"/>
                          </a:srgbClr>
                        </a:solidFill>
                        <a:ln w="25400" cap="flat" cmpd="sng" algn="ctr">
                          <a:solidFill>
                            <a:srgbClr val="C0504D"/>
                          </a:solidFill>
                          <a:prstDash val="solid"/>
                          <a:headEnd/>
                          <a:tailEnd/>
                        </a:ln>
                        <a:effectLst/>
                      </wps:spPr>
                      <wps:txbx>
                        <w:txbxContent>
                          <w:p w14:paraId="5A787C6A" w14:textId="77777777" w:rsidR="00524B6F" w:rsidRPr="000D09CA" w:rsidRDefault="00524B6F" w:rsidP="000D09CA">
                            <w:pPr>
                              <w:jc w:val="center"/>
                              <w:rPr>
                                <w:rFonts w:ascii="Traditional Arabic" w:eastAsia="Times New Roman" w:hAnsi="Traditional Arabic" w:cs="Traditional Arabic"/>
                                <w:b/>
                                <w:bCs/>
                                <w:kern w:val="36"/>
                                <w:sz w:val="48"/>
                                <w:szCs w:val="48"/>
                                <w:rtl/>
                              </w:rPr>
                            </w:pPr>
                            <w:r>
                              <w:rPr>
                                <w:rFonts w:ascii="Traditional Arabic" w:eastAsia="Times New Roman" w:hAnsi="Traditional Arabic" w:cs="Traditional Arabic"/>
                                <w:b/>
                                <w:bCs/>
                                <w:kern w:val="36"/>
                                <w:sz w:val="48"/>
                                <w:szCs w:val="48"/>
                                <w:rtl/>
                              </w:rPr>
                              <w:t xml:space="preserve">التوريق كآلية لإدارة المخاطر المصرفية </w:t>
                            </w:r>
                          </w:p>
                          <w:p w14:paraId="5B49D53C" w14:textId="77777777" w:rsidR="00524B6F" w:rsidRPr="000D09CA" w:rsidRDefault="00524B6F" w:rsidP="000D09CA">
                            <w:pPr>
                              <w:jc w:val="center"/>
                              <w:rPr>
                                <w:rFonts w:ascii="Traditional Arabic" w:eastAsia="Times New Roman" w:hAnsi="Traditional Arabic" w:cs="Traditional Arabic"/>
                                <w:b/>
                                <w:bCs/>
                                <w:kern w:val="36"/>
                                <w:sz w:val="48"/>
                                <w:szCs w:val="48"/>
                                <w:lang w:bidi="ar-DZ"/>
                              </w:rPr>
                            </w:pPr>
                            <w:r>
                              <w:rPr>
                                <w:rFonts w:ascii="Traditional Arabic" w:eastAsia="Times New Roman" w:hAnsi="Traditional Arabic" w:cs="Traditional Arabic"/>
                                <w:b/>
                                <w:bCs/>
                                <w:kern w:val="36"/>
                                <w:sz w:val="48"/>
                                <w:szCs w:val="48"/>
                                <w:rtl/>
                              </w:rPr>
                              <w:t xml:space="preserve">دراسة </w:t>
                            </w:r>
                            <w:proofErr w:type="gramStart"/>
                            <w:r>
                              <w:rPr>
                                <w:rFonts w:ascii="Traditional Arabic" w:eastAsia="Times New Roman" w:hAnsi="Traditional Arabic" w:cs="Traditional Arabic"/>
                                <w:b/>
                                <w:bCs/>
                                <w:kern w:val="36"/>
                                <w:sz w:val="48"/>
                                <w:szCs w:val="48"/>
                                <w:rtl/>
                              </w:rPr>
                              <w:t>حالة :</w:t>
                            </w:r>
                            <w:proofErr w:type="gramEnd"/>
                            <w:r>
                              <w:rPr>
                                <w:rFonts w:ascii="Traditional Arabic" w:eastAsia="Times New Roman" w:hAnsi="Traditional Arabic" w:cs="Traditional Arabic"/>
                                <w:b/>
                                <w:bCs/>
                                <w:kern w:val="36"/>
                                <w:sz w:val="48"/>
                                <w:szCs w:val="48"/>
                                <w:rtl/>
                              </w:rPr>
                              <w:t xml:space="preserve"> </w:t>
                            </w:r>
                            <w:r>
                              <w:rPr>
                                <w:rFonts w:ascii="Traditional Arabic" w:eastAsia="Times New Roman" w:hAnsi="Traditional Arabic" w:cs="Traditional Arabic"/>
                                <w:b/>
                                <w:bCs/>
                                <w:kern w:val="36"/>
                                <w:sz w:val="48"/>
                                <w:szCs w:val="48"/>
                                <w:rtl/>
                                <w:lang w:bidi="ar-DZ"/>
                              </w:rPr>
                              <w:t>بنك الاهلي السعودي</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7D68308" id="Rounded Rectangle 9" o:spid="_x0000_s1027" style="position:absolute;left:0;text-align:left;margin-left:0;margin-top:11.5pt;width:463.5pt;height:147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" fillcolor="#dce6f2" strokecolor="#c0504d" strokeweight="2pt">
                <v:textbox>
                  <w:txbxContent>
                    <w:p w14:paraId="5A787C6A" w14:textId="77777777" w:rsidR="00524B6F" w:rsidRPr="000D09CA" w:rsidRDefault="00524B6F" w:rsidP="000D09CA">
                      <w:pPr>
                        <w:jc w:val="center"/>
                        <w:rPr>
                          <w:rFonts w:ascii="Traditional Arabic" w:eastAsia="Times New Roman" w:hAnsi="Traditional Arabic" w:cs="Traditional Arabic"/>
                          <w:b/>
                          <w:bCs/>
                          <w:kern w:val="36"/>
                          <w:sz w:val="48"/>
                          <w:szCs w:val="48"/>
                          <w:rtl/>
                        </w:rPr>
                      </w:pPr>
                      <w:r>
                        <w:rPr>
                          <w:rFonts w:ascii="Traditional Arabic" w:eastAsia="Times New Roman" w:hAnsi="Traditional Arabic" w:cs="Traditional Arabic"/>
                          <w:b/>
                          <w:bCs/>
                          <w:kern w:val="36"/>
                          <w:sz w:val="48"/>
                          <w:szCs w:val="48"/>
                          <w:rtl/>
                        </w:rPr>
                        <w:t xml:space="preserve">التوريق كآلية لإدارة المخاطر المصرفية </w:t>
                      </w:r>
                    </w:p>
                    <w:p w14:paraId="5B49D53C" w14:textId="77777777" w:rsidR="00524B6F" w:rsidRPr="000D09CA" w:rsidRDefault="00524B6F" w:rsidP="000D09CA">
                      <w:pPr>
                        <w:jc w:val="center"/>
                        <w:rPr>
                          <w:rFonts w:ascii="Traditional Arabic" w:eastAsia="Times New Roman" w:hAnsi="Traditional Arabic" w:cs="Traditional Arabic"/>
                          <w:b/>
                          <w:bCs/>
                          <w:kern w:val="36"/>
                          <w:sz w:val="48"/>
                          <w:szCs w:val="48"/>
                          <w:lang w:bidi="ar-DZ"/>
                        </w:rPr>
                      </w:pPr>
                      <w:r>
                        <w:rPr>
                          <w:rFonts w:ascii="Traditional Arabic" w:eastAsia="Times New Roman" w:hAnsi="Traditional Arabic" w:cs="Traditional Arabic"/>
                          <w:b/>
                          <w:bCs/>
                          <w:kern w:val="36"/>
                          <w:sz w:val="48"/>
                          <w:szCs w:val="48"/>
                          <w:rtl/>
                        </w:rPr>
                        <w:t xml:space="preserve">دراسة </w:t>
                      </w:r>
                      <w:proofErr w:type="gramStart"/>
                      <w:r>
                        <w:rPr>
                          <w:rFonts w:ascii="Traditional Arabic" w:eastAsia="Times New Roman" w:hAnsi="Traditional Arabic" w:cs="Traditional Arabic"/>
                          <w:b/>
                          <w:bCs/>
                          <w:kern w:val="36"/>
                          <w:sz w:val="48"/>
                          <w:szCs w:val="48"/>
                          <w:rtl/>
                        </w:rPr>
                        <w:t>حالة :</w:t>
                      </w:r>
                      <w:proofErr w:type="gramEnd"/>
                      <w:r>
                        <w:rPr>
                          <w:rFonts w:ascii="Traditional Arabic" w:eastAsia="Times New Roman" w:hAnsi="Traditional Arabic" w:cs="Traditional Arabic"/>
                          <w:b/>
                          <w:bCs/>
                          <w:kern w:val="36"/>
                          <w:sz w:val="48"/>
                          <w:szCs w:val="48"/>
                          <w:rtl/>
                        </w:rPr>
                        <w:t xml:space="preserve"> </w:t>
                      </w:r>
                      <w:r>
                        <w:rPr>
                          <w:rFonts w:ascii="Traditional Arabic" w:eastAsia="Times New Roman" w:hAnsi="Traditional Arabic" w:cs="Traditional Arabic"/>
                          <w:b/>
                          <w:bCs/>
                          <w:kern w:val="36"/>
                          <w:sz w:val="48"/>
                          <w:szCs w:val="48"/>
                          <w:rtl/>
                          <w:lang w:bidi="ar-DZ"/>
                        </w:rPr>
                        <w:t>بنك الاهلي السعودي</w:t>
                      </w:r>
                    </w:p>
                  </w:txbxContent>
                </v:textbox>
                <w10:wrap anchorx="margin"/>
              </v:roundrect>
            </w:pict>
          </mc:Fallback>
        </mc:AlternateContent>
      </w:r>
    </w:p>
    <w:p w14:paraId="25D86EF6" w14:textId="77777777" w:rsidR="000D09CA" w:rsidRPr="000D09CA" w:rsidRDefault="000D09CA" w:rsidP="00540437">
      <w:pPr>
        <w:bidi/>
        <w:spacing w:after="0" w:line="240" w:lineRule="auto"/>
        <w:rPr>
          <w:rFonts w:ascii="Traditional Arabic" w:hAnsi="Traditional Arabic" w:cs="Traditional Arabic"/>
          <w:sz w:val="36"/>
          <w:szCs w:val="36"/>
          <w:rtl/>
          <w:lang w:bidi="ar-DZ"/>
        </w:rPr>
      </w:pPr>
    </w:p>
    <w:p w14:paraId="7B259E24" w14:textId="77777777" w:rsidR="000D09CA" w:rsidRPr="000D09CA" w:rsidRDefault="000D09CA" w:rsidP="00540437">
      <w:pPr>
        <w:bidi/>
        <w:spacing w:after="0" w:line="240" w:lineRule="auto"/>
        <w:rPr>
          <w:rFonts w:ascii="Traditional Arabic" w:hAnsi="Traditional Arabic" w:cs="Traditional Arabic"/>
          <w:sz w:val="36"/>
          <w:szCs w:val="36"/>
          <w:rtl/>
          <w:lang w:bidi="ar-DZ"/>
        </w:rPr>
      </w:pPr>
    </w:p>
    <w:p w14:paraId="6D30D5EB" w14:textId="77777777" w:rsidR="000D09CA" w:rsidRPr="000D09CA" w:rsidRDefault="000D09CA" w:rsidP="00540437">
      <w:pPr>
        <w:bidi/>
        <w:spacing w:after="0" w:line="240" w:lineRule="auto"/>
        <w:rPr>
          <w:rFonts w:ascii="Traditional Arabic" w:hAnsi="Traditional Arabic" w:cs="Traditional Arabic"/>
          <w:sz w:val="36"/>
          <w:szCs w:val="36"/>
          <w:rtl/>
          <w:lang w:bidi="ar-DZ"/>
        </w:rPr>
      </w:pPr>
    </w:p>
    <w:p w14:paraId="058B888B" w14:textId="77777777" w:rsidR="000D09CA" w:rsidRPr="000D09CA" w:rsidRDefault="000D09CA" w:rsidP="00540437">
      <w:pPr>
        <w:bidi/>
        <w:spacing w:after="0" w:line="240" w:lineRule="auto"/>
        <w:rPr>
          <w:rFonts w:ascii="Traditional Arabic" w:hAnsi="Traditional Arabic" w:cs="Traditional Arabic"/>
          <w:b/>
          <w:bCs/>
          <w:sz w:val="36"/>
          <w:szCs w:val="36"/>
          <w:lang w:bidi="ar-DZ"/>
        </w:rPr>
      </w:pPr>
    </w:p>
    <w:p w14:paraId="5501ECD3"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p>
    <w:p w14:paraId="45E73A8F"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r>
        <w:rPr>
          <w:rFonts w:ascii="Traditional Arabic,Bold" w:cs="Traditional Arabic,Bold" w:hint="cs"/>
          <w:b/>
          <w:bCs/>
          <w:sz w:val="32"/>
          <w:szCs w:val="32"/>
          <w:rtl/>
          <w:lang w:val="fr-FR"/>
        </w:rPr>
        <w:t>من</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إعداد</w:t>
      </w:r>
      <w:r>
        <w:rPr>
          <w:rFonts w:ascii="Traditional Arabic,Bold" w:cs="Traditional Arabic,Bold"/>
          <w:b/>
          <w:bCs/>
          <w:sz w:val="32"/>
          <w:szCs w:val="32"/>
          <w:lang w:val="fr-FR"/>
        </w:rPr>
        <w:t xml:space="preserve"> </w:t>
      </w:r>
      <w:proofErr w:type="gramStart"/>
      <w:r>
        <w:rPr>
          <w:rFonts w:ascii="Traditional Arabic,Bold" w:cs="Traditional Arabic,Bold" w:hint="cs"/>
          <w:b/>
          <w:bCs/>
          <w:sz w:val="32"/>
          <w:szCs w:val="32"/>
          <w:rtl/>
          <w:lang w:val="fr-FR"/>
        </w:rPr>
        <w:t>الطالب</w:t>
      </w:r>
      <w:r>
        <w:rPr>
          <w:rFonts w:ascii="Traditional Arabic,Bold" w:cs="Traditional Arabic,Bold"/>
          <w:b/>
          <w:bCs/>
          <w:sz w:val="32"/>
          <w:szCs w:val="32"/>
          <w:lang w:val="fr-FR"/>
        </w:rPr>
        <w:t xml:space="preserve">  :</w:t>
      </w:r>
      <w:proofErr w:type="gramEnd"/>
      <w:r>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 xml:space="preserve">                    </w:t>
      </w:r>
      <w:r>
        <w:rPr>
          <w:rFonts w:ascii="Traditional Arabic,Bold" w:cs="Traditional Arabic,Bold" w:hint="cs"/>
          <w:b/>
          <w:bCs/>
          <w:sz w:val="32"/>
          <w:szCs w:val="32"/>
          <w:rtl/>
          <w:lang w:val="fr-FR"/>
        </w:rPr>
        <w:t>تحت</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اشراف</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الأستاذ:</w:t>
      </w:r>
    </w:p>
    <w:p w14:paraId="52BE6CF8" w14:textId="77777777" w:rsidR="000D09CA" w:rsidRPr="000D09CA" w:rsidRDefault="000D09CA" w:rsidP="00540437">
      <w:pPr>
        <w:numPr>
          <w:ilvl w:val="0"/>
          <w:numId w:val="50"/>
        </w:numPr>
        <w:bidi/>
        <w:spacing w:after="0" w:line="240" w:lineRule="auto"/>
        <w:contextualSpacing/>
        <w:rPr>
          <w:rFonts w:ascii="Traditional Arabic" w:hAnsi="Traditional Arabic" w:cs="Traditional Arabic"/>
          <w:b/>
          <w:bCs/>
          <w:sz w:val="36"/>
          <w:szCs w:val="36"/>
          <w:rtl/>
          <w:lang w:bidi="ar-DZ"/>
        </w:rPr>
      </w:pPr>
      <w:proofErr w:type="spellStart"/>
      <w:r>
        <w:rPr>
          <w:rFonts w:ascii="Traditional Arabic" w:hAnsi="Traditional Arabic" w:cs="Traditional Arabic" w:hint="cs"/>
          <w:b/>
          <w:bCs/>
          <w:sz w:val="36"/>
          <w:szCs w:val="36"/>
          <w:rtl/>
          <w:lang w:bidi="ar-DZ"/>
        </w:rPr>
        <w:t>ساسفة</w:t>
      </w:r>
      <w:proofErr w:type="spellEnd"/>
      <w:r>
        <w:rPr>
          <w:rFonts w:ascii="Traditional Arabic" w:hAnsi="Traditional Arabic" w:cs="Traditional Arabic" w:hint="cs"/>
          <w:b/>
          <w:bCs/>
          <w:sz w:val="36"/>
          <w:szCs w:val="36"/>
          <w:rtl/>
          <w:lang w:bidi="ar-DZ"/>
        </w:rPr>
        <w:t xml:space="preserve"> محمد                                                         -د/ بن جواد مسعود</w:t>
      </w:r>
    </w:p>
    <w:p w14:paraId="6E674AF2"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p>
    <w:p w14:paraId="0BB3127D"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p>
    <w:p w14:paraId="6FD90087" w14:textId="44EC366F" w:rsidR="000D09CA" w:rsidRPr="000D09CA" w:rsidRDefault="000D09CA" w:rsidP="00540437">
      <w:pPr>
        <w:autoSpaceDE w:val="0"/>
        <w:autoSpaceDN w:val="0"/>
        <w:bidi/>
        <w:adjustRightInd w:val="0"/>
        <w:spacing w:after="0" w:line="240" w:lineRule="auto"/>
        <w:jc w:val="center"/>
        <w:rPr>
          <w:rFonts w:ascii="Traditional Arabic,Bold" w:cs="Traditional Arabic,Bold"/>
          <w:b/>
          <w:bCs/>
          <w:sz w:val="32"/>
          <w:szCs w:val="32"/>
          <w:rtl/>
          <w:lang w:val="fr-FR"/>
        </w:rPr>
      </w:pPr>
      <w:r>
        <w:rPr>
          <w:rFonts w:ascii="Traditional Arabic,Bold" w:cs="Traditional Arabic,Bold" w:hint="cs"/>
          <w:b/>
          <w:bCs/>
          <w:sz w:val="32"/>
          <w:szCs w:val="32"/>
          <w:rtl/>
          <w:lang w:val="fr-FR"/>
        </w:rPr>
        <w:t>نوقشت</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وأجيزت</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علنا</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 xml:space="preserve">بتاريخ: </w:t>
      </w:r>
      <w:r w:rsidR="00D429C1">
        <w:rPr>
          <w:rFonts w:ascii="Traditional Arabic,Bold" w:cs="Traditional Arabic,Bold" w:hint="cs"/>
          <w:b/>
          <w:bCs/>
          <w:sz w:val="32"/>
          <w:szCs w:val="32"/>
          <w:rtl/>
          <w:lang w:val="fr-FR"/>
        </w:rPr>
        <w:t>01</w:t>
      </w:r>
      <w:r>
        <w:rPr>
          <w:rFonts w:ascii="Traditional Arabic,Bold" w:cs="Traditional Arabic,Bold" w:hint="cs"/>
          <w:b/>
          <w:bCs/>
          <w:sz w:val="32"/>
          <w:szCs w:val="32"/>
          <w:rtl/>
          <w:lang w:val="fr-FR"/>
        </w:rPr>
        <w:t>/</w:t>
      </w:r>
      <w:r w:rsidR="00D429C1">
        <w:rPr>
          <w:rFonts w:ascii="Traditional Arabic,Bold" w:cs="Traditional Arabic,Bold" w:hint="cs"/>
          <w:b/>
          <w:bCs/>
          <w:sz w:val="32"/>
          <w:szCs w:val="32"/>
          <w:rtl/>
          <w:lang w:val="fr-FR"/>
        </w:rPr>
        <w:t>06</w:t>
      </w:r>
      <w:r>
        <w:rPr>
          <w:rFonts w:ascii="Traditional Arabic,Bold" w:cs="Traditional Arabic,Bold" w:hint="cs"/>
          <w:b/>
          <w:bCs/>
          <w:sz w:val="32"/>
          <w:szCs w:val="32"/>
          <w:rtl/>
          <w:lang w:val="fr-FR"/>
        </w:rPr>
        <w:t>/2026</w:t>
      </w:r>
    </w:p>
    <w:p w14:paraId="72F620F1" w14:textId="77777777" w:rsidR="000D09CA" w:rsidRPr="000D09CA" w:rsidRDefault="000D09CA" w:rsidP="00540437">
      <w:pPr>
        <w:autoSpaceDE w:val="0"/>
        <w:autoSpaceDN w:val="0"/>
        <w:bidi/>
        <w:adjustRightInd w:val="0"/>
        <w:spacing w:after="0" w:line="240" w:lineRule="auto"/>
        <w:jc w:val="center"/>
        <w:rPr>
          <w:rFonts w:ascii="Traditional Arabic" w:eastAsia="Calibri" w:hAnsi="Traditional Arabic" w:cs="Traditional Arabic"/>
          <w:b/>
          <w:bCs/>
          <w:sz w:val="36"/>
          <w:szCs w:val="36"/>
          <w:lang w:bidi="ar-DZ"/>
        </w:rPr>
      </w:pPr>
      <w:r>
        <w:rPr>
          <w:rFonts w:ascii="Traditional Arabic,Bold" w:cs="Traditional Arabic,Bold" w:hint="cs"/>
          <w:b/>
          <w:bCs/>
          <w:sz w:val="32"/>
          <w:szCs w:val="32"/>
          <w:rtl/>
          <w:lang w:val="fr-FR"/>
        </w:rPr>
        <w:t>أمام</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اللجنة</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المكونة</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من</w:t>
      </w:r>
      <w:r>
        <w:rPr>
          <w:rFonts w:ascii="Traditional Arabic,Bold" w:cs="Traditional Arabic,Bold"/>
          <w:b/>
          <w:bCs/>
          <w:sz w:val="32"/>
          <w:szCs w:val="32"/>
          <w:lang w:val="fr-FR"/>
        </w:rPr>
        <w:t xml:space="preserve"> </w:t>
      </w:r>
      <w:proofErr w:type="gramStart"/>
      <w:r>
        <w:rPr>
          <w:rFonts w:ascii="Traditional Arabic,Bold" w:cs="Traditional Arabic,Bold" w:hint="cs"/>
          <w:b/>
          <w:bCs/>
          <w:sz w:val="32"/>
          <w:szCs w:val="32"/>
          <w:rtl/>
          <w:lang w:val="fr-FR"/>
        </w:rPr>
        <w:t>السادة</w:t>
      </w:r>
      <w:r>
        <w:rPr>
          <w:rFonts w:ascii="Traditional Arabic,Bold" w:cs="Traditional Arabic,Bold"/>
          <w:b/>
          <w:bCs/>
          <w:sz w:val="32"/>
          <w:szCs w:val="32"/>
          <w:lang w:val="fr-FR"/>
        </w:rPr>
        <w:t xml:space="preserve"> :</w:t>
      </w:r>
      <w:proofErr w:type="gramEnd"/>
    </w:p>
    <w:tbl>
      <w:tblPr>
        <w:tblStyle w:val="Grilledutableau61"/>
        <w:bidiVisual/>
        <w:tblW w:w="0" w:type="auto"/>
        <w:tblInd w:w="954" w:type="dxa"/>
        <w:tblLook w:val="04A0" w:firstRow="1" w:lastRow="0" w:firstColumn="1" w:lastColumn="0" w:noHBand="0" w:noVBand="1"/>
      </w:tblPr>
      <w:tblGrid>
        <w:gridCol w:w="2132"/>
        <w:gridCol w:w="2053"/>
        <w:gridCol w:w="2122"/>
        <w:gridCol w:w="1756"/>
      </w:tblGrid>
      <w:tr w:rsidR="00584F16" w:rsidRPr="000D09CA" w14:paraId="61A35778" w14:textId="77777777" w:rsidTr="00E54090">
        <w:tc>
          <w:tcPr>
            <w:tcW w:w="218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D1EDA09" w14:textId="77777777" w:rsidR="00584F16" w:rsidRPr="000D09CA" w:rsidRDefault="00584F16" w:rsidP="00E54090">
            <w:pPr>
              <w:bidi/>
              <w:jc w:val="center"/>
              <w:rPr>
                <w:rFonts w:ascii="Traditional Arabic" w:hAnsi="Traditional Arabic" w:cs="Traditional Arabic"/>
                <w:b/>
                <w:bCs/>
                <w:sz w:val="36"/>
                <w:szCs w:val="36"/>
                <w:lang w:bidi="ar-DZ"/>
              </w:rPr>
            </w:pPr>
            <w:proofErr w:type="spellStart"/>
            <w:r w:rsidRPr="000D09CA">
              <w:rPr>
                <w:rFonts w:ascii="Traditional Arabic" w:hAnsi="Traditional Arabic" w:cs="Traditional Arabic"/>
                <w:b/>
                <w:bCs/>
                <w:sz w:val="36"/>
                <w:szCs w:val="36"/>
                <w:rtl/>
                <w:lang w:bidi="ar-DZ"/>
              </w:rPr>
              <w:t>الإسم</w:t>
            </w:r>
            <w:proofErr w:type="spellEnd"/>
            <w:r w:rsidRPr="000D09CA">
              <w:rPr>
                <w:rFonts w:ascii="Traditional Arabic" w:hAnsi="Traditional Arabic" w:cs="Traditional Arabic"/>
                <w:b/>
                <w:bCs/>
                <w:sz w:val="36"/>
                <w:szCs w:val="36"/>
                <w:rtl/>
                <w:lang w:bidi="ar-DZ"/>
              </w:rPr>
              <w:t xml:space="preserve"> واللقب</w:t>
            </w:r>
          </w:p>
        </w:tc>
        <w:tc>
          <w:tcPr>
            <w:tcW w:w="211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39F427E" w14:textId="77777777" w:rsidR="00584F16" w:rsidRPr="000D09CA" w:rsidRDefault="00584F16" w:rsidP="00E54090">
            <w:pPr>
              <w:bidi/>
              <w:jc w:val="center"/>
              <w:rPr>
                <w:rFonts w:ascii="Traditional Arabic" w:hAnsi="Traditional Arabic" w:cs="Traditional Arabic"/>
                <w:b/>
                <w:bCs/>
                <w:sz w:val="36"/>
                <w:szCs w:val="36"/>
                <w:rtl/>
                <w:lang w:bidi="ar-DZ"/>
              </w:rPr>
            </w:pPr>
            <w:r w:rsidRPr="00881593">
              <w:rPr>
                <w:rFonts w:ascii="Traditional Arabic" w:hAnsi="Traditional Arabic" w:cs="Traditional Arabic"/>
                <w:b/>
                <w:bCs/>
                <w:sz w:val="36"/>
                <w:szCs w:val="36"/>
                <w:rtl/>
                <w:lang w:bidi="ar-DZ"/>
              </w:rPr>
              <w:t>الرتبة</w:t>
            </w:r>
          </w:p>
        </w:tc>
        <w:tc>
          <w:tcPr>
            <w:tcW w:w="218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FC6B097" w14:textId="77777777" w:rsidR="00584F16" w:rsidRPr="000D09CA" w:rsidRDefault="00584F16" w:rsidP="00E54090">
            <w:pPr>
              <w:bidi/>
              <w:jc w:val="center"/>
              <w:rPr>
                <w:rFonts w:ascii="Traditional Arabic" w:hAnsi="Traditional Arabic" w:cs="Traditional Arabic"/>
                <w:b/>
                <w:bCs/>
                <w:sz w:val="36"/>
                <w:szCs w:val="36"/>
                <w:rtl/>
                <w:lang w:bidi="ar-DZ"/>
              </w:rPr>
            </w:pPr>
            <w:r w:rsidRPr="000D09CA">
              <w:rPr>
                <w:rFonts w:ascii="Traditional Arabic" w:hAnsi="Traditional Arabic" w:cs="Traditional Arabic"/>
                <w:b/>
                <w:bCs/>
                <w:sz w:val="36"/>
                <w:szCs w:val="36"/>
                <w:rtl/>
                <w:lang w:bidi="ar-DZ"/>
              </w:rPr>
              <w:t>الجامعة</w:t>
            </w:r>
          </w:p>
        </w:tc>
        <w:tc>
          <w:tcPr>
            <w:tcW w:w="180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4718260" w14:textId="77777777" w:rsidR="00584F16" w:rsidRPr="000D09CA" w:rsidRDefault="00584F16" w:rsidP="00E54090">
            <w:pPr>
              <w:bidi/>
              <w:jc w:val="center"/>
              <w:rPr>
                <w:rFonts w:ascii="Traditional Arabic" w:hAnsi="Traditional Arabic" w:cs="Traditional Arabic"/>
                <w:b/>
                <w:bCs/>
                <w:sz w:val="36"/>
                <w:szCs w:val="36"/>
                <w:rtl/>
                <w:lang w:bidi="ar-DZ"/>
              </w:rPr>
            </w:pPr>
            <w:r w:rsidRPr="000D09CA">
              <w:rPr>
                <w:rFonts w:ascii="Traditional Arabic" w:hAnsi="Traditional Arabic" w:cs="Traditional Arabic"/>
                <w:b/>
                <w:bCs/>
                <w:sz w:val="36"/>
                <w:szCs w:val="36"/>
                <w:rtl/>
                <w:lang w:bidi="ar-DZ"/>
              </w:rPr>
              <w:t>الصفة</w:t>
            </w:r>
          </w:p>
        </w:tc>
      </w:tr>
      <w:tr w:rsidR="00584F16" w:rsidRPr="000D09CA" w14:paraId="05AE4471" w14:textId="77777777" w:rsidTr="00E54090">
        <w:tc>
          <w:tcPr>
            <w:tcW w:w="2188" w:type="dxa"/>
            <w:tcBorders>
              <w:top w:val="single" w:sz="4" w:space="0" w:color="auto"/>
              <w:left w:val="single" w:sz="4" w:space="0" w:color="auto"/>
              <w:bottom w:val="single" w:sz="4" w:space="0" w:color="auto"/>
              <w:right w:val="single" w:sz="4" w:space="0" w:color="auto"/>
            </w:tcBorders>
            <w:vAlign w:val="center"/>
          </w:tcPr>
          <w:p w14:paraId="525F7215" w14:textId="77777777" w:rsidR="00584F16" w:rsidRPr="000D09CA" w:rsidRDefault="00584F16" w:rsidP="00E54090">
            <w:pPr>
              <w:bidi/>
              <w:jc w:val="center"/>
              <w:rPr>
                <w:rFonts w:ascii="Traditional Arabic" w:hAnsi="Traditional Arabic" w:cs="Traditional Arabic"/>
                <w:sz w:val="36"/>
                <w:szCs w:val="36"/>
                <w:rtl/>
                <w:lang w:bidi="ar-DZ"/>
              </w:rPr>
            </w:pPr>
            <w:r w:rsidRPr="000F3330">
              <w:rPr>
                <w:rFonts w:ascii="Traditional Arabic" w:hAnsi="Traditional Arabic" w:cs="Traditional Arabic" w:hint="cs"/>
                <w:b/>
                <w:bCs/>
                <w:sz w:val="24"/>
                <w:szCs w:val="24"/>
                <w:rtl/>
              </w:rPr>
              <w:t>الشيخ بن قايد</w:t>
            </w:r>
          </w:p>
        </w:tc>
        <w:tc>
          <w:tcPr>
            <w:tcW w:w="2117" w:type="dxa"/>
            <w:tcBorders>
              <w:top w:val="single" w:sz="4" w:space="0" w:color="auto"/>
              <w:left w:val="single" w:sz="4" w:space="0" w:color="auto"/>
              <w:bottom w:val="single" w:sz="4" w:space="0" w:color="auto"/>
              <w:right w:val="single" w:sz="4" w:space="0" w:color="auto"/>
            </w:tcBorders>
            <w:vAlign w:val="center"/>
          </w:tcPr>
          <w:p w14:paraId="32A86127"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محاضر</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w:t>
            </w:r>
          </w:p>
        </w:tc>
        <w:tc>
          <w:tcPr>
            <w:tcW w:w="2182" w:type="dxa"/>
            <w:tcBorders>
              <w:top w:val="single" w:sz="4" w:space="0" w:color="auto"/>
              <w:left w:val="single" w:sz="4" w:space="0" w:color="auto"/>
              <w:bottom w:val="single" w:sz="4" w:space="0" w:color="auto"/>
              <w:right w:val="single" w:sz="4" w:space="0" w:color="auto"/>
            </w:tcBorders>
            <w:vAlign w:val="center"/>
          </w:tcPr>
          <w:p w14:paraId="00A3E0A0" w14:textId="77777777" w:rsidR="00584F16" w:rsidRPr="000D09CA" w:rsidRDefault="00584F16" w:rsidP="00E54090">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غرداية</w:t>
            </w:r>
          </w:p>
        </w:tc>
        <w:tc>
          <w:tcPr>
            <w:tcW w:w="1802" w:type="dxa"/>
            <w:tcBorders>
              <w:top w:val="single" w:sz="4" w:space="0" w:color="auto"/>
              <w:left w:val="single" w:sz="4" w:space="0" w:color="auto"/>
              <w:bottom w:val="single" w:sz="4" w:space="0" w:color="auto"/>
              <w:right w:val="single" w:sz="4" w:space="0" w:color="auto"/>
            </w:tcBorders>
            <w:vAlign w:val="center"/>
          </w:tcPr>
          <w:p w14:paraId="29ED0A3B"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رئيسا</w:t>
            </w:r>
          </w:p>
        </w:tc>
      </w:tr>
      <w:tr w:rsidR="00584F16" w:rsidRPr="000D09CA" w14:paraId="7ED26889" w14:textId="77777777" w:rsidTr="00E54090">
        <w:tc>
          <w:tcPr>
            <w:tcW w:w="2188" w:type="dxa"/>
            <w:tcBorders>
              <w:top w:val="single" w:sz="4" w:space="0" w:color="auto"/>
              <w:left w:val="single" w:sz="4" w:space="0" w:color="auto"/>
              <w:bottom w:val="single" w:sz="4" w:space="0" w:color="auto"/>
              <w:right w:val="single" w:sz="4" w:space="0" w:color="auto"/>
            </w:tcBorders>
            <w:vAlign w:val="center"/>
          </w:tcPr>
          <w:p w14:paraId="09845B37"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مسعود بن جواد</w:t>
            </w:r>
          </w:p>
        </w:tc>
        <w:tc>
          <w:tcPr>
            <w:tcW w:w="2117" w:type="dxa"/>
            <w:tcBorders>
              <w:top w:val="single" w:sz="4" w:space="0" w:color="auto"/>
              <w:left w:val="single" w:sz="4" w:space="0" w:color="auto"/>
              <w:bottom w:val="single" w:sz="4" w:space="0" w:color="auto"/>
              <w:right w:val="single" w:sz="4" w:space="0" w:color="auto"/>
            </w:tcBorders>
            <w:vAlign w:val="center"/>
          </w:tcPr>
          <w:p w14:paraId="35ABF2A2"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محاضر</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w:t>
            </w:r>
          </w:p>
        </w:tc>
        <w:tc>
          <w:tcPr>
            <w:tcW w:w="2182" w:type="dxa"/>
            <w:tcBorders>
              <w:top w:val="single" w:sz="4" w:space="0" w:color="auto"/>
              <w:left w:val="single" w:sz="4" w:space="0" w:color="auto"/>
              <w:bottom w:val="single" w:sz="4" w:space="0" w:color="auto"/>
              <w:right w:val="single" w:sz="4" w:space="0" w:color="auto"/>
            </w:tcBorders>
          </w:tcPr>
          <w:p w14:paraId="2088020A" w14:textId="77777777" w:rsidR="00584F16" w:rsidRDefault="00584F16" w:rsidP="00E54090">
            <w:pPr>
              <w:jc w:val="center"/>
            </w:pPr>
            <w:r w:rsidRPr="00116333">
              <w:rPr>
                <w:rFonts w:ascii="Traditional Arabic" w:hAnsi="Traditional Arabic" w:cs="Traditional Arabic" w:hint="cs"/>
                <w:sz w:val="36"/>
                <w:szCs w:val="36"/>
                <w:rtl/>
                <w:lang w:bidi="ar-DZ"/>
              </w:rPr>
              <w:t>غرداية</w:t>
            </w:r>
          </w:p>
        </w:tc>
        <w:tc>
          <w:tcPr>
            <w:tcW w:w="1802" w:type="dxa"/>
            <w:tcBorders>
              <w:top w:val="single" w:sz="4" w:space="0" w:color="auto"/>
              <w:left w:val="single" w:sz="4" w:space="0" w:color="auto"/>
              <w:bottom w:val="single" w:sz="4" w:space="0" w:color="auto"/>
              <w:right w:val="single" w:sz="4" w:space="0" w:color="auto"/>
            </w:tcBorders>
            <w:vAlign w:val="center"/>
          </w:tcPr>
          <w:p w14:paraId="1CC2F8E0"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مشرفا</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ومقرر</w:t>
            </w:r>
          </w:p>
        </w:tc>
      </w:tr>
      <w:tr w:rsidR="00584F16" w:rsidRPr="000D09CA" w14:paraId="5D672873" w14:textId="77777777" w:rsidTr="00E54090">
        <w:tc>
          <w:tcPr>
            <w:tcW w:w="2188" w:type="dxa"/>
            <w:tcBorders>
              <w:top w:val="single" w:sz="4" w:space="0" w:color="auto"/>
              <w:left w:val="single" w:sz="4" w:space="0" w:color="auto"/>
              <w:bottom w:val="single" w:sz="4" w:space="0" w:color="auto"/>
              <w:right w:val="single" w:sz="4" w:space="0" w:color="auto"/>
            </w:tcBorders>
            <w:vAlign w:val="center"/>
          </w:tcPr>
          <w:p w14:paraId="690154B1" w14:textId="77777777" w:rsidR="00584F16" w:rsidRPr="000D09CA" w:rsidRDefault="00584F16" w:rsidP="00E54090">
            <w:pPr>
              <w:bidi/>
              <w:jc w:val="center"/>
              <w:rPr>
                <w:rFonts w:ascii="Traditional Arabic" w:hAnsi="Traditional Arabic" w:cs="Traditional Arabic"/>
                <w:sz w:val="36"/>
                <w:szCs w:val="36"/>
                <w:rtl/>
                <w:lang w:bidi="ar-DZ"/>
              </w:rPr>
            </w:pPr>
            <w:r w:rsidRPr="000F3330">
              <w:rPr>
                <w:rFonts w:ascii="Traditional Arabic" w:hAnsi="Traditional Arabic" w:cs="Traditional Arabic" w:hint="cs"/>
                <w:b/>
                <w:bCs/>
                <w:sz w:val="24"/>
                <w:szCs w:val="24"/>
                <w:rtl/>
              </w:rPr>
              <w:t xml:space="preserve">ليلى </w:t>
            </w:r>
            <w:proofErr w:type="spellStart"/>
            <w:r w:rsidRPr="000F3330">
              <w:rPr>
                <w:rFonts w:ascii="Traditional Arabic" w:hAnsi="Traditional Arabic" w:cs="Traditional Arabic" w:hint="cs"/>
                <w:b/>
                <w:bCs/>
                <w:sz w:val="24"/>
                <w:szCs w:val="24"/>
                <w:rtl/>
              </w:rPr>
              <w:t>أولادابراهيم</w:t>
            </w:r>
            <w:proofErr w:type="spellEnd"/>
          </w:p>
        </w:tc>
        <w:tc>
          <w:tcPr>
            <w:tcW w:w="2117" w:type="dxa"/>
            <w:tcBorders>
              <w:top w:val="single" w:sz="4" w:space="0" w:color="auto"/>
              <w:left w:val="single" w:sz="4" w:space="0" w:color="auto"/>
              <w:bottom w:val="single" w:sz="4" w:space="0" w:color="auto"/>
              <w:right w:val="single" w:sz="4" w:space="0" w:color="auto"/>
            </w:tcBorders>
            <w:vAlign w:val="center"/>
          </w:tcPr>
          <w:p w14:paraId="731AED21"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أستاذ</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محاضر</w:t>
            </w:r>
            <w:r w:rsidRPr="000D09CA">
              <w:rPr>
                <w:rFonts w:ascii="Traditional Arabic" w:hAnsi="Traditional Arabic" w:cs="Traditional Arabic"/>
                <w:b/>
                <w:bCs/>
                <w:sz w:val="24"/>
                <w:szCs w:val="24"/>
              </w:rPr>
              <w:t xml:space="preserve"> </w:t>
            </w:r>
            <w:r w:rsidRPr="000D09CA">
              <w:rPr>
                <w:rFonts w:ascii="Traditional Arabic" w:hAnsi="Traditional Arabic" w:cs="Traditional Arabic"/>
                <w:b/>
                <w:bCs/>
                <w:sz w:val="24"/>
                <w:szCs w:val="24"/>
                <w:rtl/>
              </w:rPr>
              <w:t>أ</w:t>
            </w:r>
          </w:p>
        </w:tc>
        <w:tc>
          <w:tcPr>
            <w:tcW w:w="2182" w:type="dxa"/>
            <w:tcBorders>
              <w:top w:val="single" w:sz="4" w:space="0" w:color="auto"/>
              <w:left w:val="single" w:sz="4" w:space="0" w:color="auto"/>
              <w:bottom w:val="single" w:sz="4" w:space="0" w:color="auto"/>
              <w:right w:val="single" w:sz="4" w:space="0" w:color="auto"/>
            </w:tcBorders>
          </w:tcPr>
          <w:p w14:paraId="6B07FB3B" w14:textId="77777777" w:rsidR="00584F16" w:rsidRDefault="00584F16" w:rsidP="00E54090">
            <w:pPr>
              <w:jc w:val="center"/>
            </w:pPr>
            <w:r w:rsidRPr="00116333">
              <w:rPr>
                <w:rFonts w:ascii="Traditional Arabic" w:hAnsi="Traditional Arabic" w:cs="Traditional Arabic" w:hint="cs"/>
                <w:sz w:val="36"/>
                <w:szCs w:val="36"/>
                <w:rtl/>
                <w:lang w:bidi="ar-DZ"/>
              </w:rPr>
              <w:t>غرداية</w:t>
            </w:r>
          </w:p>
        </w:tc>
        <w:tc>
          <w:tcPr>
            <w:tcW w:w="1802" w:type="dxa"/>
            <w:tcBorders>
              <w:top w:val="single" w:sz="4" w:space="0" w:color="auto"/>
              <w:left w:val="single" w:sz="4" w:space="0" w:color="auto"/>
              <w:bottom w:val="single" w:sz="4" w:space="0" w:color="auto"/>
              <w:right w:val="single" w:sz="4" w:space="0" w:color="auto"/>
            </w:tcBorders>
            <w:vAlign w:val="center"/>
          </w:tcPr>
          <w:p w14:paraId="2C3DE42C" w14:textId="77777777" w:rsidR="00584F16" w:rsidRPr="000D09CA" w:rsidRDefault="00584F16" w:rsidP="00E54090">
            <w:pPr>
              <w:bidi/>
              <w:jc w:val="center"/>
              <w:rPr>
                <w:rFonts w:ascii="Traditional Arabic" w:hAnsi="Traditional Arabic" w:cs="Traditional Arabic"/>
                <w:sz w:val="36"/>
                <w:szCs w:val="36"/>
                <w:rtl/>
                <w:lang w:bidi="ar-DZ"/>
              </w:rPr>
            </w:pPr>
            <w:r w:rsidRPr="000D09CA">
              <w:rPr>
                <w:rFonts w:ascii="Traditional Arabic" w:hAnsi="Traditional Arabic" w:cs="Traditional Arabic"/>
                <w:b/>
                <w:bCs/>
                <w:sz w:val="24"/>
                <w:szCs w:val="24"/>
                <w:rtl/>
              </w:rPr>
              <w:t>مناقشا</w:t>
            </w:r>
          </w:p>
        </w:tc>
      </w:tr>
    </w:tbl>
    <w:p w14:paraId="451F2CC3" w14:textId="77777777" w:rsidR="000D09CA" w:rsidRPr="000D09CA" w:rsidRDefault="000D09CA" w:rsidP="00540437">
      <w:pPr>
        <w:bidi/>
        <w:spacing w:after="0" w:line="240" w:lineRule="auto"/>
        <w:jc w:val="center"/>
        <w:rPr>
          <w:rFonts w:ascii="Traditional Arabic,Bold" w:cs="Traditional Arabic,Bold"/>
          <w:b/>
          <w:bCs/>
          <w:sz w:val="32"/>
          <w:szCs w:val="32"/>
          <w:rtl/>
          <w:lang w:val="fr-FR"/>
        </w:rPr>
      </w:pPr>
    </w:p>
    <w:p w14:paraId="58050310" w14:textId="77777777" w:rsidR="000D09CA" w:rsidRPr="000D09CA" w:rsidRDefault="000D09CA" w:rsidP="00540437">
      <w:pPr>
        <w:bidi/>
        <w:spacing w:after="0" w:line="240" w:lineRule="auto"/>
        <w:jc w:val="center"/>
        <w:rPr>
          <w:rFonts w:ascii="Traditional Arabic" w:hAnsi="Traditional Arabic" w:cs="Traditional Arabic"/>
          <w:b/>
          <w:bCs/>
          <w:sz w:val="36"/>
          <w:szCs w:val="36"/>
          <w:rtl/>
          <w:lang w:bidi="ar-DZ"/>
        </w:rPr>
      </w:pPr>
      <w:r>
        <w:rPr>
          <w:rFonts w:ascii="Traditional Arabic,Bold" w:cs="Traditional Arabic,Bold" w:hint="cs"/>
          <w:b/>
          <w:bCs/>
          <w:sz w:val="32"/>
          <w:szCs w:val="32"/>
          <w:rtl/>
          <w:lang w:val="fr-FR"/>
        </w:rPr>
        <w:t>السنة</w:t>
      </w:r>
      <w:r>
        <w:rPr>
          <w:rFonts w:ascii="Traditional Arabic,Bold" w:cs="Traditional Arabic,Bold"/>
          <w:b/>
          <w:bCs/>
          <w:sz w:val="32"/>
          <w:szCs w:val="32"/>
          <w:lang w:val="fr-FR"/>
        </w:rPr>
        <w:t xml:space="preserve"> </w:t>
      </w:r>
      <w:r>
        <w:rPr>
          <w:rFonts w:ascii="Traditional Arabic,Bold" w:cs="Traditional Arabic,Bold" w:hint="cs"/>
          <w:b/>
          <w:bCs/>
          <w:sz w:val="32"/>
          <w:szCs w:val="32"/>
          <w:rtl/>
          <w:lang w:val="fr-FR"/>
        </w:rPr>
        <w:t>الجامعية</w:t>
      </w:r>
      <w:r>
        <w:rPr>
          <w:rFonts w:ascii="Traditional Arabic,Bold" w:cs="Traditional Arabic,Bold"/>
          <w:b/>
          <w:bCs/>
          <w:sz w:val="32"/>
          <w:szCs w:val="32"/>
          <w:lang w:val="fr-FR"/>
        </w:rPr>
        <w:t>:</w:t>
      </w:r>
      <w:r>
        <w:rPr>
          <w:rFonts w:ascii="Traditional Arabic,Bold" w:cs="Traditional Arabic,Bold" w:hint="cs"/>
          <w:b/>
          <w:bCs/>
          <w:sz w:val="32"/>
          <w:szCs w:val="32"/>
          <w:rtl/>
          <w:lang w:val="fr-FR"/>
        </w:rPr>
        <w:t xml:space="preserve"> </w:t>
      </w:r>
      <w:r>
        <w:rPr>
          <w:rFonts w:ascii="Traditional Arabic" w:hAnsi="Traditional Arabic" w:cs="Traditional Arabic" w:hint="cs"/>
          <w:b/>
          <w:bCs/>
          <w:sz w:val="36"/>
          <w:szCs w:val="36"/>
          <w:rtl/>
          <w:lang w:bidi="ar-DZ"/>
        </w:rPr>
        <w:t>2026/2025</w:t>
      </w:r>
    </w:p>
    <w:p w14:paraId="53536EED" w14:textId="77777777" w:rsidR="000D09CA" w:rsidRPr="000D09CA" w:rsidRDefault="000D09CA" w:rsidP="00540437">
      <w:pPr>
        <w:bidi/>
        <w:spacing w:after="0" w:line="240" w:lineRule="auto"/>
        <w:rPr>
          <w:rFonts w:ascii="Traditional Arabic" w:hAnsi="Traditional Arabic" w:cs="Traditional Arabic"/>
          <w:b/>
          <w:bCs/>
          <w:sz w:val="36"/>
          <w:szCs w:val="36"/>
          <w:rtl/>
          <w:lang w:bidi="ar-DZ"/>
        </w:rPr>
      </w:pPr>
    </w:p>
    <w:p w14:paraId="42D36C70" w14:textId="77777777" w:rsidR="00282CEF" w:rsidRDefault="00282CEF" w:rsidP="00540437">
      <w:pPr>
        <w:bidi/>
        <w:spacing w:after="0" w:line="240" w:lineRule="auto"/>
        <w:ind w:left="785"/>
        <w:contextualSpacing/>
        <w:rPr>
          <w:rStyle w:val="lev"/>
          <w:sz w:val="72"/>
          <w:szCs w:val="72"/>
          <w:rtl/>
        </w:rPr>
      </w:pPr>
    </w:p>
    <w:p w14:paraId="43F3E592" w14:textId="77777777" w:rsidR="00CE4FC7" w:rsidRDefault="00CE4FC7" w:rsidP="00540437">
      <w:pPr>
        <w:spacing w:line="240" w:lineRule="auto"/>
        <w:rPr>
          <w:rStyle w:val="lev"/>
          <w:sz w:val="72"/>
          <w:szCs w:val="72"/>
          <w:rtl/>
        </w:rPr>
      </w:pPr>
    </w:p>
    <w:p w14:paraId="7EBAE68E" w14:textId="77777777" w:rsidR="00CE4FC7" w:rsidRDefault="00CE4FC7" w:rsidP="00540437">
      <w:pPr>
        <w:spacing w:line="240" w:lineRule="auto"/>
        <w:rPr>
          <w:rStyle w:val="lev"/>
          <w:sz w:val="72"/>
          <w:szCs w:val="72"/>
          <w:rtl/>
        </w:rPr>
      </w:pPr>
    </w:p>
    <w:p w14:paraId="632BD197" w14:textId="77777777" w:rsidR="00CE4FC7" w:rsidRDefault="00CE4FC7" w:rsidP="00540437">
      <w:pPr>
        <w:spacing w:line="240" w:lineRule="auto"/>
        <w:rPr>
          <w:rStyle w:val="lev"/>
          <w:sz w:val="72"/>
          <w:szCs w:val="72"/>
          <w:rtl/>
        </w:rPr>
      </w:pPr>
    </w:p>
    <w:p w14:paraId="23147F60" w14:textId="77777777" w:rsidR="00CE4FC7" w:rsidRDefault="00CE4FC7" w:rsidP="00540437">
      <w:pPr>
        <w:spacing w:line="240" w:lineRule="auto"/>
        <w:rPr>
          <w:rStyle w:val="lev"/>
          <w:sz w:val="72"/>
          <w:szCs w:val="72"/>
          <w:rtl/>
        </w:rPr>
      </w:pPr>
    </w:p>
    <w:p w14:paraId="64674078" w14:textId="77777777" w:rsidR="00282CEF" w:rsidRDefault="00282CEF" w:rsidP="00540437">
      <w:pPr>
        <w:spacing w:line="240" w:lineRule="auto"/>
        <w:rPr>
          <w:rStyle w:val="lev"/>
          <w:sz w:val="72"/>
          <w:szCs w:val="72"/>
          <w:rtl/>
        </w:rPr>
      </w:pPr>
    </w:p>
    <w:p w14:paraId="68211714" w14:textId="77777777" w:rsidR="00282CEF" w:rsidRPr="00C96F66" w:rsidRDefault="00282CEF" w:rsidP="00540437">
      <w:pPr>
        <w:spacing w:line="240" w:lineRule="auto"/>
        <w:jc w:val="center"/>
        <w:rPr>
          <w:sz w:val="72"/>
          <w:szCs w:val="72"/>
          <w:rtl/>
        </w:rPr>
      </w:pPr>
      <w:proofErr w:type="gramStart"/>
      <w:r>
        <w:rPr>
          <w:rStyle w:val="lev"/>
          <w:sz w:val="72"/>
          <w:szCs w:val="72"/>
          <w:rtl/>
        </w:rPr>
        <w:t>﴿ وَقُلِ</w:t>
      </w:r>
      <w:proofErr w:type="gramEnd"/>
      <w:r>
        <w:rPr>
          <w:rStyle w:val="lev"/>
          <w:sz w:val="72"/>
          <w:szCs w:val="72"/>
          <w:rtl/>
        </w:rPr>
        <w:t xml:space="preserve"> </w:t>
      </w:r>
      <w:proofErr w:type="spellStart"/>
      <w:r>
        <w:rPr>
          <w:rStyle w:val="lev"/>
          <w:sz w:val="72"/>
          <w:szCs w:val="72"/>
          <w:rtl/>
        </w:rPr>
        <w:t>ٱعْمَلُوا</w:t>
      </w:r>
      <w:proofErr w:type="spellEnd"/>
      <w:r>
        <w:rPr>
          <w:rStyle w:val="lev"/>
          <w:rFonts w:cs="Times New Roman" w:hint="cs"/>
          <w:sz w:val="72"/>
          <w:szCs w:val="72"/>
          <w:rtl/>
        </w:rPr>
        <w:t>۟</w:t>
      </w:r>
      <w:r>
        <w:rPr>
          <w:rStyle w:val="lev"/>
          <w:sz w:val="72"/>
          <w:szCs w:val="72"/>
          <w:rtl/>
        </w:rPr>
        <w:t xml:space="preserve"> </w:t>
      </w:r>
      <w:r>
        <w:rPr>
          <w:rStyle w:val="lev"/>
          <w:rFonts w:ascii="Traditional Arabic" w:hAnsi="Traditional Arabic" w:hint="cs"/>
          <w:sz w:val="72"/>
          <w:szCs w:val="72"/>
          <w:rtl/>
        </w:rPr>
        <w:t>فَسَيَرَى</w:t>
      </w:r>
      <w:r>
        <w:rPr>
          <w:rStyle w:val="lev"/>
          <w:sz w:val="72"/>
          <w:szCs w:val="72"/>
          <w:rtl/>
        </w:rPr>
        <w:t xml:space="preserve"> </w:t>
      </w:r>
      <w:proofErr w:type="spellStart"/>
      <w:r>
        <w:rPr>
          <w:rStyle w:val="lev"/>
          <w:rFonts w:ascii="Traditional Arabic" w:hAnsi="Traditional Arabic" w:hint="cs"/>
          <w:sz w:val="72"/>
          <w:szCs w:val="72"/>
          <w:rtl/>
        </w:rPr>
        <w:t>ٱللَّهُ</w:t>
      </w:r>
      <w:proofErr w:type="spellEnd"/>
      <w:r>
        <w:rPr>
          <w:rStyle w:val="lev"/>
          <w:sz w:val="72"/>
          <w:szCs w:val="72"/>
          <w:rtl/>
        </w:rPr>
        <w:t xml:space="preserve"> </w:t>
      </w:r>
      <w:r>
        <w:rPr>
          <w:rStyle w:val="lev"/>
          <w:rFonts w:ascii="Traditional Arabic" w:hAnsi="Traditional Arabic" w:hint="cs"/>
          <w:sz w:val="72"/>
          <w:szCs w:val="72"/>
          <w:rtl/>
        </w:rPr>
        <w:t>عَمَلَكُمْ</w:t>
      </w:r>
      <w:r>
        <w:rPr>
          <w:rStyle w:val="lev"/>
          <w:sz w:val="72"/>
          <w:szCs w:val="72"/>
          <w:rtl/>
        </w:rPr>
        <w:t xml:space="preserve"> </w:t>
      </w:r>
      <w:proofErr w:type="spellStart"/>
      <w:r>
        <w:rPr>
          <w:rStyle w:val="lev"/>
          <w:rFonts w:ascii="Traditional Arabic" w:hAnsi="Traditional Arabic" w:hint="cs"/>
          <w:sz w:val="72"/>
          <w:szCs w:val="72"/>
          <w:rtl/>
        </w:rPr>
        <w:t>وَرَسُولُهُ</w:t>
      </w:r>
      <w:r>
        <w:rPr>
          <w:rStyle w:val="lev"/>
          <w:rFonts w:cs="Times New Roman" w:hint="cs"/>
          <w:sz w:val="72"/>
          <w:szCs w:val="72"/>
          <w:rtl/>
        </w:rPr>
        <w:t>ۥ</w:t>
      </w:r>
      <w:proofErr w:type="spellEnd"/>
      <w:r>
        <w:rPr>
          <w:rStyle w:val="lev"/>
          <w:sz w:val="72"/>
          <w:szCs w:val="72"/>
          <w:rtl/>
        </w:rPr>
        <w:t xml:space="preserve"> </w:t>
      </w:r>
      <w:proofErr w:type="spellStart"/>
      <w:r>
        <w:rPr>
          <w:rStyle w:val="lev"/>
          <w:rFonts w:ascii="Traditional Arabic" w:hAnsi="Traditional Arabic" w:hint="cs"/>
          <w:sz w:val="72"/>
          <w:szCs w:val="72"/>
          <w:rtl/>
        </w:rPr>
        <w:t>وَٱلْمُؤْمِنُونَ</w:t>
      </w:r>
      <w:proofErr w:type="spellEnd"/>
      <w:r>
        <w:rPr>
          <w:rStyle w:val="lev"/>
          <w:sz w:val="72"/>
          <w:szCs w:val="72"/>
          <w:rtl/>
        </w:rPr>
        <w:t xml:space="preserve"> </w:t>
      </w:r>
      <w:r>
        <w:rPr>
          <w:rStyle w:val="lev"/>
          <w:rFonts w:cs="Times New Roman" w:hint="cs"/>
          <w:sz w:val="72"/>
          <w:szCs w:val="72"/>
          <w:rtl/>
        </w:rPr>
        <w:t>ۖ</w:t>
      </w:r>
      <w:r>
        <w:rPr>
          <w:rStyle w:val="lev"/>
          <w:sz w:val="72"/>
          <w:szCs w:val="72"/>
          <w:rtl/>
        </w:rPr>
        <w:t xml:space="preserve"> ﴾</w:t>
      </w:r>
    </w:p>
    <w:p w14:paraId="587F5226" w14:textId="77777777" w:rsidR="00282CEF" w:rsidRPr="00C96F66" w:rsidRDefault="00282CEF" w:rsidP="00540437">
      <w:pPr>
        <w:spacing w:line="240" w:lineRule="auto"/>
        <w:jc w:val="center"/>
        <w:rPr>
          <w:sz w:val="72"/>
          <w:szCs w:val="72"/>
          <w:lang w:bidi="ar-DZ"/>
        </w:rPr>
      </w:pPr>
      <w:r>
        <w:rPr>
          <w:rStyle w:val="Accentuation"/>
          <w:sz w:val="72"/>
          <w:szCs w:val="72"/>
          <w:rtl/>
        </w:rPr>
        <w:t xml:space="preserve">الآية </w:t>
      </w:r>
      <w:proofErr w:type="gramStart"/>
      <w:r>
        <w:rPr>
          <w:rStyle w:val="Accentuation"/>
          <w:rFonts w:hint="cs"/>
          <w:sz w:val="72"/>
          <w:szCs w:val="72"/>
          <w:rtl/>
        </w:rPr>
        <w:t>105</w:t>
      </w:r>
      <w:r>
        <w:rPr>
          <w:rStyle w:val="Accentuation"/>
          <w:sz w:val="72"/>
          <w:szCs w:val="72"/>
          <w:rtl/>
        </w:rPr>
        <w:t>،سورة</w:t>
      </w:r>
      <w:proofErr w:type="gramEnd"/>
      <w:r>
        <w:rPr>
          <w:rStyle w:val="Accentuation"/>
          <w:sz w:val="72"/>
          <w:szCs w:val="72"/>
          <w:rtl/>
        </w:rPr>
        <w:t xml:space="preserve"> التوبة</w:t>
      </w:r>
    </w:p>
    <w:p w14:paraId="277F6D9F" w14:textId="77777777" w:rsidR="00282CEF" w:rsidRDefault="00282CEF" w:rsidP="00540437">
      <w:pPr>
        <w:rPr>
          <w:b/>
          <w:bCs/>
          <w:noProof/>
          <w:sz w:val="240"/>
          <w:szCs w:val="240"/>
          <w:rtl/>
        </w:rPr>
      </w:pPr>
    </w:p>
    <w:p w14:paraId="5E9D433A" w14:textId="77777777" w:rsidR="00282CEF" w:rsidRDefault="00282CEF" w:rsidP="00540437">
      <w:pPr>
        <w:tabs>
          <w:tab w:val="left" w:pos="4538"/>
        </w:tabs>
        <w:rPr>
          <w:b/>
          <w:bCs/>
          <w:noProof/>
          <w:sz w:val="96"/>
          <w:szCs w:val="96"/>
          <w:rtl/>
        </w:rPr>
      </w:pPr>
    </w:p>
    <w:p w14:paraId="5228F970" w14:textId="77777777" w:rsidR="00C853BC" w:rsidRDefault="00C853BC" w:rsidP="00540437">
      <w:pPr>
        <w:tabs>
          <w:tab w:val="left" w:pos="4538"/>
        </w:tabs>
        <w:rPr>
          <w:b/>
          <w:bCs/>
          <w:noProof/>
          <w:sz w:val="96"/>
          <w:szCs w:val="96"/>
        </w:rPr>
        <w:sectPr w:rsidR="00C853BC" w:rsidSect="009F79D5">
          <w:footerReference w:type="default" r:id="rId9"/>
          <w:pgSz w:w="11907" w:h="16839" w:code="9"/>
          <w:pgMar w:top="1440" w:right="1440" w:bottom="1440" w:left="1440" w:header="720" w:footer="720" w:gutter="0"/>
          <w:pgNumType w:fmt="upperRoman" w:start="1"/>
          <w:cols w:space="720"/>
          <w:docGrid w:linePitch="360"/>
        </w:sectPr>
      </w:pPr>
    </w:p>
    <w:p w14:paraId="15BE046E" w14:textId="77777777" w:rsidR="00282CEF" w:rsidRDefault="00282CEF" w:rsidP="00540437">
      <w:pPr>
        <w:bidi/>
        <w:jc w:val="center"/>
        <w:rPr>
          <w:b/>
          <w:bCs/>
          <w:noProof/>
          <w:sz w:val="96"/>
          <w:szCs w:val="96"/>
          <w:rtl/>
        </w:rPr>
      </w:pPr>
      <w:r>
        <w:rPr>
          <w:rFonts w:hint="cs"/>
          <w:b/>
          <w:bCs/>
          <w:noProof/>
          <w:sz w:val="96"/>
          <w:szCs w:val="96"/>
          <w:rtl/>
        </w:rPr>
        <w:lastRenderedPageBreak/>
        <w:t>الاهداء</w:t>
      </w:r>
    </w:p>
    <w:p w14:paraId="35BC9A39" w14:textId="77777777" w:rsidR="00DB0F6F" w:rsidRPr="00072E71" w:rsidRDefault="00DB0F6F" w:rsidP="00540437">
      <w:pPr>
        <w:bidi/>
        <w:spacing w:after="0" w:line="240" w:lineRule="auto"/>
        <w:rPr>
          <w:rFonts w:ascii="Simplified Arabic" w:hAnsi="Simplified Arabic" w:cs="Simplified Arabic"/>
          <w:sz w:val="32"/>
          <w:szCs w:val="32"/>
          <w:rtl/>
        </w:rPr>
      </w:pPr>
      <w:r>
        <w:rPr>
          <w:rFonts w:ascii="Simplified Arabic" w:hAnsi="Simplified Arabic" w:cs="Simplified Arabic"/>
          <w:sz w:val="32"/>
          <w:szCs w:val="32"/>
          <w:rtl/>
        </w:rPr>
        <w:t>الحمدُ لله،</w:t>
      </w:r>
      <w:r>
        <w:rPr>
          <w:rFonts w:ascii="Simplified Arabic" w:hAnsi="Simplified Arabic" w:cs="Simplified Arabic"/>
          <w:sz w:val="32"/>
          <w:szCs w:val="32"/>
        </w:rPr>
        <w:t xml:space="preserve"> </w:t>
      </w:r>
      <w:r>
        <w:rPr>
          <w:rFonts w:ascii="Simplified Arabic" w:hAnsi="Simplified Arabic" w:cs="Simplified Arabic"/>
          <w:sz w:val="32"/>
          <w:szCs w:val="32"/>
          <w:rtl/>
        </w:rPr>
        <w:t>حبًّا وشكرًا وامتنانًا على البدء والختام، ها أنا اليوم أُتوِّج لحظاتي الأخيرة في ذلك الطريق الذي كان يحمل في باطنه العثرات</w:t>
      </w:r>
      <w:r>
        <w:rPr>
          <w:rFonts w:ascii="Simplified Arabic" w:hAnsi="Simplified Arabic" w:cs="Simplified Arabic"/>
          <w:sz w:val="32"/>
          <w:szCs w:val="32"/>
        </w:rPr>
        <w:t>.</w:t>
      </w:r>
    </w:p>
    <w:p w14:paraId="1F754CC5" w14:textId="77777777" w:rsidR="00DB0F6F" w:rsidRPr="00072E71" w:rsidRDefault="00DB0F6F" w:rsidP="00540437">
      <w:pPr>
        <w:bidi/>
        <w:spacing w:after="0" w:line="240" w:lineRule="auto"/>
        <w:rPr>
          <w:rFonts w:ascii="Simplified Arabic" w:hAnsi="Simplified Arabic" w:cs="Simplified Arabic"/>
          <w:sz w:val="32"/>
          <w:szCs w:val="32"/>
          <w:rtl/>
        </w:rPr>
      </w:pPr>
      <w:r>
        <w:rPr>
          <w:rFonts w:ascii="Simplified Arabic" w:hAnsi="Simplified Arabic" w:cs="Simplified Arabic"/>
          <w:sz w:val="32"/>
          <w:szCs w:val="32"/>
          <w:rtl/>
        </w:rPr>
        <w:t>ورغمًا عنها، ظلّت قدمي تخطو بكل صبرٍ وطموحٍ وعزيمة، وبين الحائل وحسن الظن بالله</w:t>
      </w:r>
      <w:r>
        <w:rPr>
          <w:rFonts w:ascii="Simplified Arabic" w:hAnsi="Simplified Arabic" w:cs="Simplified Arabic"/>
          <w:sz w:val="32"/>
          <w:szCs w:val="32"/>
        </w:rPr>
        <w:t>.</w:t>
      </w:r>
    </w:p>
    <w:p w14:paraId="720EEB71" w14:textId="77777777" w:rsidR="00DB0F6F" w:rsidRPr="00072E71" w:rsidRDefault="00DB0F6F" w:rsidP="00540437">
      <w:pPr>
        <w:bidi/>
        <w:spacing w:after="0" w:line="240" w:lineRule="auto"/>
        <w:rPr>
          <w:rFonts w:ascii="Simplified Arabic" w:hAnsi="Simplified Arabic" w:cs="Simplified Arabic"/>
          <w:sz w:val="32"/>
          <w:szCs w:val="32"/>
          <w:rtl/>
        </w:rPr>
      </w:pPr>
      <w:r>
        <w:rPr>
          <w:rFonts w:ascii="Simplified Arabic" w:hAnsi="Simplified Arabic" w:cs="Simplified Arabic"/>
          <w:sz w:val="32"/>
          <w:szCs w:val="32"/>
          <w:rtl/>
        </w:rPr>
        <w:t xml:space="preserve">أُهدي بكل حب تخرّجي إلى نفسي العظيمة القوية، التي تحمّلت كل العثرات رغم </w:t>
      </w:r>
      <w:r>
        <w:rPr>
          <w:rFonts w:ascii="Simplified Arabic" w:hAnsi="Simplified Arabic" w:cs="Simplified Arabic" w:hint="cs"/>
          <w:sz w:val="32"/>
          <w:szCs w:val="32"/>
          <w:rtl/>
        </w:rPr>
        <w:t>ال</w:t>
      </w:r>
      <w:r>
        <w:rPr>
          <w:rFonts w:ascii="Simplified Arabic" w:hAnsi="Simplified Arabic" w:cs="Simplified Arabic"/>
          <w:sz w:val="32"/>
          <w:szCs w:val="32"/>
          <w:rtl/>
        </w:rPr>
        <w:t>صعوبات</w:t>
      </w:r>
      <w:r>
        <w:rPr>
          <w:rFonts w:ascii="Simplified Arabic" w:hAnsi="Simplified Arabic" w:cs="Simplified Arabic"/>
          <w:sz w:val="32"/>
          <w:szCs w:val="32"/>
        </w:rPr>
        <w:t>.</w:t>
      </w:r>
    </w:p>
    <w:p w14:paraId="416B5200" w14:textId="77777777" w:rsidR="00DB0F6F" w:rsidRPr="00072E71" w:rsidRDefault="00DB0F6F" w:rsidP="00540437">
      <w:pPr>
        <w:bidi/>
        <w:spacing w:after="0" w:line="240" w:lineRule="auto"/>
        <w:rPr>
          <w:rFonts w:ascii="Simplified Arabic" w:hAnsi="Simplified Arabic" w:cs="Simplified Arabic"/>
          <w:sz w:val="32"/>
          <w:szCs w:val="32"/>
          <w:rtl/>
        </w:rPr>
      </w:pPr>
      <w:r>
        <w:rPr>
          <w:rFonts w:ascii="Simplified Arabic" w:hAnsi="Simplified Arabic" w:cs="Simplified Arabic"/>
          <w:sz w:val="32"/>
          <w:szCs w:val="32"/>
          <w:rtl/>
        </w:rPr>
        <w:t>إلى أغلى</w:t>
      </w:r>
      <w:r>
        <w:rPr>
          <w:rFonts w:ascii="Simplified Arabic" w:hAnsi="Simplified Arabic" w:cs="Simplified Arabic"/>
          <w:sz w:val="32"/>
          <w:szCs w:val="32"/>
        </w:rPr>
        <w:t xml:space="preserve"> </w:t>
      </w:r>
      <w:r>
        <w:rPr>
          <w:rFonts w:ascii="Simplified Arabic" w:hAnsi="Simplified Arabic" w:cs="Simplified Arabic"/>
          <w:sz w:val="32"/>
          <w:szCs w:val="32"/>
          <w:rtl/>
        </w:rPr>
        <w:t>ما أملك في الدنيا الوالدين الل</w:t>
      </w:r>
      <w:r>
        <w:rPr>
          <w:rFonts w:ascii="Simplified Arabic" w:hAnsi="Simplified Arabic" w:cs="Simplified Arabic" w:hint="cs"/>
          <w:sz w:val="32"/>
          <w:szCs w:val="32"/>
          <w:rtl/>
        </w:rPr>
        <w:t>ذان</w:t>
      </w:r>
      <w:r>
        <w:rPr>
          <w:rFonts w:ascii="Simplified Arabic" w:hAnsi="Simplified Arabic" w:cs="Simplified Arabic"/>
          <w:sz w:val="32"/>
          <w:szCs w:val="32"/>
          <w:rtl/>
        </w:rPr>
        <w:t xml:space="preserve"> تعبا من أجل تربيتنا و توفير </w:t>
      </w:r>
      <w:proofErr w:type="gramStart"/>
      <w:r>
        <w:rPr>
          <w:rFonts w:ascii="Simplified Arabic" w:hAnsi="Simplified Arabic" w:cs="Simplified Arabic"/>
          <w:sz w:val="32"/>
          <w:szCs w:val="32"/>
          <w:rtl/>
        </w:rPr>
        <w:t xml:space="preserve">الدعم </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المالي</w:t>
      </w:r>
      <w:proofErr w:type="gramEnd"/>
      <w:r>
        <w:rPr>
          <w:rFonts w:ascii="Simplified Arabic" w:hAnsi="Simplified Arabic" w:cs="Simplified Arabic"/>
          <w:sz w:val="32"/>
          <w:szCs w:val="32"/>
          <w:rtl/>
        </w:rPr>
        <w:t xml:space="preserve"> و </w:t>
      </w:r>
      <w:r>
        <w:rPr>
          <w:rFonts w:ascii="Simplified Arabic" w:hAnsi="Simplified Arabic" w:cs="Simplified Arabic"/>
          <w:sz w:val="32"/>
          <w:szCs w:val="32"/>
        </w:rPr>
        <w:t xml:space="preserve">  </w:t>
      </w:r>
      <w:r>
        <w:rPr>
          <w:rFonts w:ascii="Simplified Arabic" w:hAnsi="Simplified Arabic" w:cs="Simplified Arabic" w:hint="cs"/>
          <w:sz w:val="32"/>
          <w:szCs w:val="32"/>
          <w:rtl/>
        </w:rPr>
        <w:t xml:space="preserve">             </w:t>
      </w:r>
    </w:p>
    <w:p w14:paraId="4D359EE5" w14:textId="77777777" w:rsidR="00DB0F6F" w:rsidRPr="00072E71" w:rsidRDefault="00DB0F6F" w:rsidP="00540437">
      <w:pPr>
        <w:bidi/>
        <w:spacing w:after="0" w:line="240" w:lineRule="auto"/>
        <w:rPr>
          <w:rFonts w:ascii="Simplified Arabic" w:hAnsi="Simplified Arabic" w:cs="Simplified Arabic"/>
          <w:sz w:val="32"/>
          <w:szCs w:val="32"/>
        </w:rPr>
      </w:pPr>
      <w:r>
        <w:rPr>
          <w:rFonts w:ascii="Simplified Arabic" w:hAnsi="Simplified Arabic" w:cs="Simplified Arabic"/>
          <w:sz w:val="32"/>
          <w:szCs w:val="32"/>
          <w:rtl/>
        </w:rPr>
        <w:t xml:space="preserve">المعنوي في جميع الظروف، </w:t>
      </w:r>
      <w:proofErr w:type="gramStart"/>
      <w:r>
        <w:rPr>
          <w:rFonts w:ascii="Simplified Arabic" w:hAnsi="Simplified Arabic" w:cs="Simplified Arabic"/>
          <w:sz w:val="32"/>
          <w:szCs w:val="32"/>
          <w:rtl/>
        </w:rPr>
        <w:t>و أدعو</w:t>
      </w:r>
      <w:proofErr w:type="gramEnd"/>
      <w:r>
        <w:rPr>
          <w:rFonts w:ascii="Simplified Arabic" w:hAnsi="Simplified Arabic" w:cs="Simplified Arabic"/>
          <w:sz w:val="32"/>
          <w:szCs w:val="32"/>
          <w:rtl/>
        </w:rPr>
        <w:t xml:space="preserve"> عز و جل لهما:" اللهم إني أدعوك بكل اسم سميت به نفسك أن تحفظهما و تسترهما و تشفيهما</w:t>
      </w:r>
      <w:r>
        <w:rPr>
          <w:rFonts w:ascii="Simplified Arabic" w:hAnsi="Simplified Arabic" w:cs="Simplified Arabic"/>
          <w:sz w:val="32"/>
          <w:szCs w:val="32"/>
        </w:rPr>
        <w:t xml:space="preserve"> </w:t>
      </w:r>
      <w:r>
        <w:rPr>
          <w:rFonts w:ascii="Simplified Arabic" w:hAnsi="Simplified Arabic" w:cs="Simplified Arabic"/>
          <w:sz w:val="32"/>
          <w:szCs w:val="32"/>
          <w:rtl/>
        </w:rPr>
        <w:t>و تقدرني على إرضائهما و رعايتهما بعزتك يا أرحم الراحمين".</w:t>
      </w:r>
    </w:p>
    <w:p w14:paraId="1D1D8951" w14:textId="77777777" w:rsidR="00DB0F6F" w:rsidRPr="00072E71" w:rsidRDefault="00DB0F6F" w:rsidP="00B477FC">
      <w:pPr>
        <w:bidi/>
        <w:spacing w:after="0" w:line="240" w:lineRule="auto"/>
        <w:rPr>
          <w:rFonts w:ascii="Simplified Arabic" w:hAnsi="Simplified Arabic" w:cs="Simplified Arabic"/>
          <w:sz w:val="32"/>
          <w:szCs w:val="32"/>
        </w:rPr>
      </w:pPr>
      <w:r>
        <w:rPr>
          <w:rFonts w:ascii="Simplified Arabic" w:hAnsi="Simplified Arabic" w:cs="Simplified Arabic"/>
          <w:sz w:val="32"/>
          <w:szCs w:val="32"/>
          <w:rtl/>
        </w:rPr>
        <w:t>إلى شريكة حياتي العزيزة أمال</w:t>
      </w:r>
      <w:r>
        <w:rPr>
          <w:rFonts w:ascii="Simplified Arabic" w:hAnsi="Simplified Arabic" w:cs="Simplified Arabic"/>
          <w:sz w:val="32"/>
          <w:szCs w:val="32"/>
        </w:rPr>
        <w:t xml:space="preserve"> </w:t>
      </w:r>
      <w:r>
        <w:rPr>
          <w:rFonts w:ascii="Simplified Arabic" w:hAnsi="Simplified Arabic" w:cs="Simplified Arabic"/>
          <w:sz w:val="32"/>
          <w:szCs w:val="32"/>
          <w:rtl/>
        </w:rPr>
        <w:t>ال</w:t>
      </w:r>
      <w:r>
        <w:rPr>
          <w:rFonts w:ascii="Simplified Arabic" w:hAnsi="Simplified Arabic" w:cs="Simplified Arabic" w:hint="cs"/>
          <w:sz w:val="32"/>
          <w:szCs w:val="32"/>
          <w:rtl/>
        </w:rPr>
        <w:t>ت</w:t>
      </w:r>
      <w:r>
        <w:rPr>
          <w:rFonts w:ascii="Simplified Arabic" w:hAnsi="Simplified Arabic" w:cs="Simplified Arabic"/>
          <w:sz w:val="32"/>
          <w:szCs w:val="32"/>
          <w:rtl/>
        </w:rPr>
        <w:t>ي دعم</w:t>
      </w:r>
      <w:r>
        <w:rPr>
          <w:rFonts w:ascii="Simplified Arabic" w:hAnsi="Simplified Arabic" w:cs="Simplified Arabic" w:hint="cs"/>
          <w:sz w:val="32"/>
          <w:szCs w:val="32"/>
          <w:rtl/>
        </w:rPr>
        <w:t>ت</w:t>
      </w:r>
      <w:r>
        <w:rPr>
          <w:rFonts w:ascii="Simplified Arabic" w:hAnsi="Simplified Arabic" w:cs="Simplified Arabic"/>
          <w:sz w:val="32"/>
          <w:szCs w:val="32"/>
          <w:rtl/>
        </w:rPr>
        <w:t xml:space="preserve">ني طيلة مشواري الدراسي اللهم أجمعنا على طاعتك </w:t>
      </w:r>
      <w:proofErr w:type="gramStart"/>
      <w:r>
        <w:rPr>
          <w:rFonts w:ascii="Simplified Arabic" w:hAnsi="Simplified Arabic" w:cs="Simplified Arabic"/>
          <w:sz w:val="32"/>
          <w:szCs w:val="32"/>
          <w:rtl/>
        </w:rPr>
        <w:t>و اجعل</w:t>
      </w:r>
      <w:proofErr w:type="gramEnd"/>
      <w:r>
        <w:rPr>
          <w:rFonts w:ascii="Simplified Arabic" w:hAnsi="Simplified Arabic" w:cs="Simplified Arabic"/>
          <w:sz w:val="32"/>
          <w:szCs w:val="32"/>
          <w:rtl/>
        </w:rPr>
        <w:t xml:space="preserve"> التقوى زادنا و أجعل</w:t>
      </w:r>
      <w:r>
        <w:rPr>
          <w:rFonts w:ascii="Simplified Arabic" w:hAnsi="Simplified Arabic" w:cs="Simplified Arabic"/>
          <w:sz w:val="32"/>
          <w:szCs w:val="32"/>
        </w:rPr>
        <w:t xml:space="preserve"> </w:t>
      </w:r>
      <w:r>
        <w:rPr>
          <w:rFonts w:ascii="Simplified Arabic" w:hAnsi="Simplified Arabic" w:cs="Simplified Arabic"/>
          <w:sz w:val="32"/>
          <w:szCs w:val="32"/>
          <w:rtl/>
        </w:rPr>
        <w:t>الجنة مآبنا و أجعل بيننا المودة و الرحمة و ختم بالسعادة أحلامنا و حقق بالزيادة أمالنا واللهم إدا أعطيتنا نجاحا فلا تأخذ تواضعنا، و إذا أعطيتنا تواضعنا فلا تأخذ اعتزازنا بديننا و كرامتنا</w:t>
      </w:r>
      <w:r>
        <w:rPr>
          <w:rFonts w:ascii="Simplified Arabic" w:hAnsi="Simplified Arabic" w:cs="Simplified Arabic" w:hint="cs"/>
          <w:sz w:val="32"/>
          <w:szCs w:val="32"/>
          <w:rtl/>
        </w:rPr>
        <w:t>.</w:t>
      </w:r>
      <w:r>
        <w:rPr>
          <w:rFonts w:ascii="Simplified Arabic" w:hAnsi="Simplified Arabic" w:cs="Simplified Arabic"/>
          <w:sz w:val="32"/>
          <w:szCs w:val="32"/>
          <w:rtl/>
        </w:rPr>
        <w:t xml:space="preserve"> </w:t>
      </w:r>
    </w:p>
    <w:p w14:paraId="11299EE7" w14:textId="77777777" w:rsidR="00DB0F6F" w:rsidRPr="00072E71" w:rsidRDefault="00DB0F6F" w:rsidP="00B477FC">
      <w:pPr>
        <w:bidi/>
        <w:spacing w:after="0" w:line="240" w:lineRule="auto"/>
        <w:ind w:left="96"/>
        <w:rPr>
          <w:rFonts w:ascii="Simplified Arabic" w:hAnsi="Simplified Arabic" w:cs="Simplified Arabic"/>
          <w:sz w:val="32"/>
          <w:szCs w:val="32"/>
        </w:rPr>
      </w:pPr>
      <w:r>
        <w:rPr>
          <w:rFonts w:ascii="Simplified Arabic" w:hAnsi="Simplified Arabic" w:cs="Simplified Arabic"/>
          <w:sz w:val="32"/>
          <w:szCs w:val="32"/>
          <w:rtl/>
        </w:rPr>
        <w:t xml:space="preserve">إلى </w:t>
      </w:r>
      <w:r>
        <w:rPr>
          <w:rFonts w:ascii="Simplified Arabic" w:hAnsi="Simplified Arabic" w:cs="Simplified Arabic" w:hint="cs"/>
          <w:sz w:val="32"/>
          <w:szCs w:val="32"/>
          <w:rtl/>
        </w:rPr>
        <w:t>أولادي</w:t>
      </w:r>
      <w:r>
        <w:rPr>
          <w:rFonts w:ascii="Simplified Arabic" w:hAnsi="Simplified Arabic" w:cs="Simplified Arabic"/>
          <w:sz w:val="32"/>
          <w:szCs w:val="32"/>
          <w:rtl/>
        </w:rPr>
        <w:t xml:space="preserve"> الصراصير الصغيرة العزيزة عل</w:t>
      </w:r>
      <w:r>
        <w:rPr>
          <w:rFonts w:ascii="Simplified Arabic" w:hAnsi="Simplified Arabic" w:cs="Simplified Arabic" w:hint="cs"/>
          <w:sz w:val="32"/>
          <w:szCs w:val="32"/>
          <w:rtl/>
        </w:rPr>
        <w:t>ى قلبي</w:t>
      </w:r>
      <w:r>
        <w:rPr>
          <w:rFonts w:ascii="Simplified Arabic" w:hAnsi="Simplified Arabic" w:cs="Simplified Arabic"/>
          <w:sz w:val="32"/>
          <w:szCs w:val="32"/>
          <w:rtl/>
        </w:rPr>
        <w:t xml:space="preserve"> </w:t>
      </w:r>
      <w:proofErr w:type="gramStart"/>
      <w:r>
        <w:rPr>
          <w:rFonts w:ascii="Simplified Arabic" w:hAnsi="Simplified Arabic" w:cs="Simplified Arabic"/>
          <w:sz w:val="32"/>
          <w:szCs w:val="32"/>
          <w:rtl/>
        </w:rPr>
        <w:t>و التي</w:t>
      </w:r>
      <w:proofErr w:type="gramEnd"/>
      <w:r>
        <w:rPr>
          <w:rFonts w:ascii="Simplified Arabic" w:hAnsi="Simplified Arabic" w:cs="Simplified Arabic"/>
          <w:sz w:val="32"/>
          <w:szCs w:val="32"/>
          <w:rtl/>
        </w:rPr>
        <w:t xml:space="preserve"> تملأ دار العائلة بهجة </w:t>
      </w:r>
    </w:p>
    <w:p w14:paraId="04C1B96C" w14:textId="77777777" w:rsidR="00DB0F6F" w:rsidRPr="00072E71" w:rsidRDefault="00DB0F6F" w:rsidP="00540437">
      <w:pPr>
        <w:bidi/>
        <w:spacing w:after="0" w:line="240" w:lineRule="auto"/>
        <w:rPr>
          <w:rFonts w:ascii="Simplified Arabic" w:hAnsi="Simplified Arabic" w:cs="Simplified Arabic"/>
          <w:sz w:val="32"/>
          <w:szCs w:val="32"/>
          <w:rtl/>
        </w:rPr>
      </w:pPr>
      <w:r>
        <w:rPr>
          <w:rFonts w:ascii="Simplified Arabic" w:hAnsi="Simplified Arabic" w:cs="Simplified Arabic"/>
          <w:sz w:val="32"/>
          <w:szCs w:val="32"/>
        </w:rPr>
        <w:t xml:space="preserve"> </w:t>
      </w:r>
      <w:proofErr w:type="gramStart"/>
      <w:r>
        <w:rPr>
          <w:rFonts w:ascii="Simplified Arabic" w:hAnsi="Simplified Arabic" w:cs="Simplified Arabic"/>
          <w:sz w:val="32"/>
          <w:szCs w:val="32"/>
          <w:rtl/>
        </w:rPr>
        <w:t>و سرور</w:t>
      </w:r>
      <w:proofErr w:type="gramEnd"/>
      <w:r>
        <w:rPr>
          <w:rFonts w:ascii="Simplified Arabic" w:hAnsi="Simplified Arabic" w:cs="Simplified Arabic"/>
          <w:sz w:val="32"/>
          <w:szCs w:val="32"/>
          <w:rtl/>
        </w:rPr>
        <w:t xml:space="preserve"> و ضجيج " </w:t>
      </w:r>
      <w:proofErr w:type="spellStart"/>
      <w:r>
        <w:rPr>
          <w:rFonts w:ascii="Simplified Arabic" w:hAnsi="Simplified Arabic" w:cs="Simplified Arabic" w:hint="cs"/>
          <w:sz w:val="32"/>
          <w:szCs w:val="32"/>
          <w:rtl/>
        </w:rPr>
        <w:t>ريتاج</w:t>
      </w:r>
      <w:proofErr w:type="spellEnd"/>
      <w:r>
        <w:rPr>
          <w:rFonts w:ascii="Simplified Arabic" w:hAnsi="Simplified Arabic" w:cs="Simplified Arabic" w:hint="cs"/>
          <w:sz w:val="32"/>
          <w:szCs w:val="32"/>
          <w:rtl/>
        </w:rPr>
        <w:t xml:space="preserve"> سندس</w:t>
      </w:r>
      <w:r>
        <w:rPr>
          <w:rFonts w:ascii="Simplified Arabic" w:hAnsi="Simplified Arabic" w:cs="Simplified Arabic"/>
          <w:sz w:val="32"/>
          <w:szCs w:val="32"/>
          <w:rtl/>
        </w:rPr>
        <w:t>،</w:t>
      </w:r>
      <w:r>
        <w:rPr>
          <w:rFonts w:ascii="Simplified Arabic" w:hAnsi="Simplified Arabic" w:cs="Simplified Arabic" w:hint="cs"/>
          <w:sz w:val="32"/>
          <w:szCs w:val="32"/>
          <w:rtl/>
        </w:rPr>
        <w:t xml:space="preserve"> أحمد يوسف</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جودي فاطمة</w:t>
      </w:r>
      <w:r>
        <w:rPr>
          <w:rFonts w:ascii="Simplified Arabic" w:hAnsi="Simplified Arabic" w:cs="Simplified Arabic"/>
          <w:sz w:val="32"/>
          <w:szCs w:val="32"/>
          <w:rtl/>
        </w:rPr>
        <w:t>".</w:t>
      </w:r>
    </w:p>
    <w:p w14:paraId="16F30BE0" w14:textId="77777777" w:rsidR="00DB0F6F" w:rsidRPr="00072E71" w:rsidRDefault="00DB0F6F" w:rsidP="00540437">
      <w:pPr>
        <w:bidi/>
        <w:spacing w:after="0" w:line="240" w:lineRule="auto"/>
        <w:rPr>
          <w:rFonts w:ascii="Simplified Arabic" w:hAnsi="Simplified Arabic" w:cs="Simplified Arabic"/>
          <w:sz w:val="32"/>
          <w:szCs w:val="32"/>
          <w:rtl/>
        </w:rPr>
      </w:pPr>
      <w:r>
        <w:rPr>
          <w:rFonts w:ascii="Simplified Arabic" w:hAnsi="Simplified Arabic" w:cs="Simplified Arabic"/>
          <w:sz w:val="32"/>
          <w:szCs w:val="32"/>
          <w:rtl/>
        </w:rPr>
        <w:t xml:space="preserve">إلى إخوتي و أخواتي و أزواجهم بأسمائهم جميعا: </w:t>
      </w:r>
      <w:r>
        <w:rPr>
          <w:rFonts w:ascii="Simplified Arabic" w:hAnsi="Simplified Arabic" w:cs="Simplified Arabic" w:hint="cs"/>
          <w:sz w:val="32"/>
          <w:szCs w:val="32"/>
          <w:rtl/>
        </w:rPr>
        <w:t>ربيعة</w:t>
      </w:r>
      <w:r>
        <w:rPr>
          <w:rFonts w:ascii="Simplified Arabic" w:hAnsi="Simplified Arabic" w:cs="Simplified Arabic"/>
          <w:sz w:val="32"/>
          <w:szCs w:val="32"/>
          <w:rtl/>
        </w:rPr>
        <w:t>،</w:t>
      </w:r>
      <w:r>
        <w:rPr>
          <w:rFonts w:ascii="Simplified Arabic" w:hAnsi="Simplified Arabic" w:cs="Simplified Arabic" w:hint="cs"/>
          <w:sz w:val="32"/>
          <w:szCs w:val="32"/>
          <w:rtl/>
        </w:rPr>
        <w:t xml:space="preserve"> </w:t>
      </w:r>
      <w:proofErr w:type="gramStart"/>
      <w:r>
        <w:rPr>
          <w:rFonts w:ascii="Simplified Arabic" w:hAnsi="Simplified Arabic" w:cs="Simplified Arabic" w:hint="cs"/>
          <w:sz w:val="32"/>
          <w:szCs w:val="32"/>
          <w:rtl/>
        </w:rPr>
        <w:t>مريم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نورة</w:t>
      </w:r>
      <w:proofErr w:type="gramEnd"/>
      <w:r>
        <w:rPr>
          <w:rFonts w:ascii="Simplified Arabic" w:hAnsi="Simplified Arabic" w:cs="Simplified Arabic"/>
          <w:sz w:val="32"/>
          <w:szCs w:val="32"/>
          <w:rtl/>
        </w:rPr>
        <w:t xml:space="preserve">، </w:t>
      </w:r>
      <w:r>
        <w:rPr>
          <w:rFonts w:ascii="Simplified Arabic" w:hAnsi="Simplified Arabic" w:cs="Simplified Arabic" w:hint="cs"/>
          <w:sz w:val="32"/>
          <w:szCs w:val="32"/>
          <w:rtl/>
        </w:rPr>
        <w:t>فوزية.</w:t>
      </w:r>
    </w:p>
    <w:p w14:paraId="051B473A" w14:textId="77777777" w:rsidR="00DB0F6F" w:rsidRPr="00072E71" w:rsidRDefault="00DB0F6F" w:rsidP="00540437">
      <w:pPr>
        <w:bidi/>
        <w:spacing w:after="0" w:line="240" w:lineRule="auto"/>
        <w:rPr>
          <w:rFonts w:ascii="Simplified Arabic" w:hAnsi="Simplified Arabic" w:cs="Simplified Arabic"/>
          <w:sz w:val="32"/>
          <w:szCs w:val="32"/>
        </w:rPr>
      </w:pPr>
      <w:r>
        <w:rPr>
          <w:rFonts w:ascii="Simplified Arabic" w:hAnsi="Simplified Arabic" w:cs="Simplified Arabic" w:hint="cs"/>
          <w:sz w:val="32"/>
          <w:szCs w:val="32"/>
          <w:rtl/>
        </w:rPr>
        <w:t>مصطفى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مختار</w:t>
      </w:r>
      <w:r>
        <w:rPr>
          <w:rFonts w:ascii="Simplified Arabic" w:hAnsi="Simplified Arabic" w:cs="Simplified Arabic"/>
          <w:sz w:val="32"/>
          <w:szCs w:val="32"/>
          <w:rtl/>
        </w:rPr>
        <w:t xml:space="preserve">، </w:t>
      </w:r>
      <w:proofErr w:type="gramStart"/>
      <w:r>
        <w:rPr>
          <w:rFonts w:ascii="Simplified Arabic" w:hAnsi="Simplified Arabic" w:cs="Simplified Arabic" w:hint="cs"/>
          <w:sz w:val="32"/>
          <w:szCs w:val="32"/>
          <w:rtl/>
        </w:rPr>
        <w:t>بلقاسم</w:t>
      </w:r>
      <w:r>
        <w:rPr>
          <w:rFonts w:ascii="Simplified Arabic" w:hAnsi="Simplified Arabic" w:cs="Simplified Arabic"/>
          <w:sz w:val="32"/>
          <w:szCs w:val="32"/>
          <w:rtl/>
        </w:rPr>
        <w:t xml:space="preserve"> ،</w:t>
      </w:r>
      <w:proofErr w:type="gramEnd"/>
      <w:r>
        <w:rPr>
          <w:rFonts w:ascii="Simplified Arabic" w:hAnsi="Simplified Arabic" w:cs="Simplified Arabic"/>
          <w:sz w:val="32"/>
          <w:szCs w:val="32"/>
          <w:rtl/>
        </w:rPr>
        <w:t xml:space="preserve">  </w:t>
      </w:r>
      <w:r>
        <w:rPr>
          <w:rFonts w:ascii="Simplified Arabic" w:hAnsi="Simplified Arabic" w:cs="Simplified Arabic" w:hint="cs"/>
          <w:sz w:val="32"/>
          <w:szCs w:val="32"/>
          <w:rtl/>
        </w:rPr>
        <w:t>ابراهيم</w:t>
      </w:r>
      <w:r>
        <w:rPr>
          <w:rFonts w:ascii="Simplified Arabic" w:hAnsi="Simplified Arabic" w:cs="Simplified Arabic"/>
          <w:sz w:val="32"/>
          <w:szCs w:val="32"/>
          <w:rtl/>
        </w:rPr>
        <w:t>.</w:t>
      </w:r>
    </w:p>
    <w:p w14:paraId="02882E0D" w14:textId="77777777" w:rsidR="00DB0F6F" w:rsidRPr="00072E71" w:rsidRDefault="00DB0F6F" w:rsidP="00540437">
      <w:pPr>
        <w:bidi/>
        <w:spacing w:after="0" w:line="240" w:lineRule="auto"/>
        <w:rPr>
          <w:rFonts w:ascii="Simplified Arabic" w:hAnsi="Simplified Arabic" w:cs="Simplified Arabic"/>
          <w:sz w:val="32"/>
          <w:szCs w:val="32"/>
        </w:rPr>
      </w:pPr>
      <w:r>
        <w:rPr>
          <w:rFonts w:ascii="Simplified Arabic" w:hAnsi="Simplified Arabic" w:cs="Simplified Arabic"/>
          <w:sz w:val="32"/>
          <w:szCs w:val="32"/>
          <w:rtl/>
        </w:rPr>
        <w:t xml:space="preserve">الى </w:t>
      </w:r>
      <w:r>
        <w:rPr>
          <w:rFonts w:ascii="Simplified Arabic" w:hAnsi="Simplified Arabic" w:cs="Simplified Arabic" w:hint="cs"/>
          <w:sz w:val="32"/>
          <w:szCs w:val="32"/>
          <w:rtl/>
        </w:rPr>
        <w:t>كل</w:t>
      </w:r>
      <w:r>
        <w:rPr>
          <w:rFonts w:ascii="Simplified Arabic" w:hAnsi="Simplified Arabic" w:cs="Simplified Arabic"/>
          <w:sz w:val="32"/>
          <w:szCs w:val="32"/>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Pr>
        <w:t xml:space="preserve"> </w:t>
      </w:r>
      <w:r>
        <w:rPr>
          <w:rFonts w:ascii="Simplified Arabic" w:hAnsi="Simplified Arabic" w:cs="Simplified Arabic" w:hint="cs"/>
          <w:sz w:val="32"/>
          <w:szCs w:val="32"/>
          <w:rtl/>
        </w:rPr>
        <w:t>كان</w:t>
      </w:r>
      <w:r>
        <w:rPr>
          <w:rFonts w:ascii="Simplified Arabic" w:hAnsi="Simplified Arabic" w:cs="Simplified Arabic"/>
          <w:sz w:val="32"/>
          <w:szCs w:val="32"/>
        </w:rPr>
        <w:t xml:space="preserve"> </w:t>
      </w:r>
      <w:r>
        <w:rPr>
          <w:rFonts w:ascii="Simplified Arabic" w:hAnsi="Simplified Arabic" w:cs="Simplified Arabic" w:hint="cs"/>
          <w:sz w:val="32"/>
          <w:szCs w:val="32"/>
          <w:rtl/>
        </w:rPr>
        <w:t>له</w:t>
      </w:r>
      <w:r>
        <w:rPr>
          <w:rFonts w:ascii="Simplified Arabic" w:hAnsi="Simplified Arabic" w:cs="Simplified Arabic"/>
          <w:sz w:val="32"/>
          <w:szCs w:val="32"/>
        </w:rPr>
        <w:t xml:space="preserve"> </w:t>
      </w:r>
      <w:r>
        <w:rPr>
          <w:rFonts w:ascii="Simplified Arabic" w:hAnsi="Simplified Arabic" w:cs="Simplified Arabic" w:hint="cs"/>
          <w:sz w:val="32"/>
          <w:szCs w:val="32"/>
          <w:rtl/>
        </w:rPr>
        <w:t>الفضل</w:t>
      </w:r>
      <w:r>
        <w:rPr>
          <w:rFonts w:ascii="Simplified Arabic" w:hAnsi="Simplified Arabic" w:cs="Simplified Arabic"/>
          <w:sz w:val="32"/>
          <w:szCs w:val="32"/>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Pr>
        <w:t xml:space="preserve"> </w:t>
      </w:r>
      <w:r>
        <w:rPr>
          <w:rFonts w:ascii="Simplified Arabic" w:hAnsi="Simplified Arabic" w:cs="Simplified Arabic" w:hint="cs"/>
          <w:sz w:val="32"/>
          <w:szCs w:val="32"/>
          <w:rtl/>
        </w:rPr>
        <w:t>وصولي</w:t>
      </w:r>
      <w:r>
        <w:rPr>
          <w:rFonts w:ascii="Simplified Arabic" w:hAnsi="Simplified Arabic" w:cs="Simplified Arabic"/>
          <w:sz w:val="32"/>
          <w:szCs w:val="32"/>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Pr>
        <w:t xml:space="preserve"> </w:t>
      </w:r>
      <w:r>
        <w:rPr>
          <w:rFonts w:ascii="Simplified Arabic" w:hAnsi="Simplified Arabic" w:cs="Simplified Arabic" w:hint="cs"/>
          <w:sz w:val="32"/>
          <w:szCs w:val="32"/>
          <w:rtl/>
        </w:rPr>
        <w:t>هذه</w:t>
      </w:r>
      <w:r>
        <w:rPr>
          <w:rFonts w:ascii="Simplified Arabic" w:hAnsi="Simplified Arabic" w:cs="Simplified Arabic"/>
          <w:sz w:val="32"/>
          <w:szCs w:val="32"/>
        </w:rPr>
        <w:t xml:space="preserve"> </w:t>
      </w:r>
      <w:r>
        <w:rPr>
          <w:rFonts w:ascii="Simplified Arabic" w:hAnsi="Simplified Arabic" w:cs="Simplified Arabic" w:hint="cs"/>
          <w:sz w:val="32"/>
          <w:szCs w:val="32"/>
          <w:rtl/>
        </w:rPr>
        <w:t>المرحلة</w:t>
      </w:r>
      <w:r>
        <w:rPr>
          <w:rFonts w:ascii="Simplified Arabic" w:hAnsi="Simplified Arabic" w:cs="Simplified Arabic"/>
          <w:sz w:val="32"/>
          <w:szCs w:val="32"/>
        </w:rPr>
        <w:t xml:space="preserve"> </w:t>
      </w:r>
      <w:r>
        <w:rPr>
          <w:rFonts w:ascii="Simplified Arabic" w:hAnsi="Simplified Arabic" w:cs="Simplified Arabic" w:hint="cs"/>
          <w:sz w:val="32"/>
          <w:szCs w:val="32"/>
          <w:rtl/>
        </w:rPr>
        <w:t>أهدي</w:t>
      </w:r>
      <w:r>
        <w:rPr>
          <w:rFonts w:ascii="Simplified Arabic" w:hAnsi="Simplified Arabic" w:cs="Simplified Arabic"/>
          <w:sz w:val="32"/>
          <w:szCs w:val="32"/>
        </w:rPr>
        <w:t xml:space="preserve"> </w:t>
      </w:r>
      <w:r>
        <w:rPr>
          <w:rFonts w:ascii="Simplified Arabic" w:hAnsi="Simplified Arabic" w:cs="Simplified Arabic" w:hint="cs"/>
          <w:sz w:val="32"/>
          <w:szCs w:val="32"/>
          <w:rtl/>
        </w:rPr>
        <w:t>لهم</w:t>
      </w:r>
      <w:r>
        <w:rPr>
          <w:rFonts w:ascii="Simplified Arabic" w:hAnsi="Simplified Arabic" w:cs="Simplified Arabic"/>
          <w:sz w:val="32"/>
          <w:szCs w:val="32"/>
        </w:rPr>
        <w:t xml:space="preserve"> </w:t>
      </w:r>
      <w:r>
        <w:rPr>
          <w:rFonts w:ascii="Simplified Arabic" w:hAnsi="Simplified Arabic" w:cs="Simplified Arabic" w:hint="cs"/>
          <w:sz w:val="32"/>
          <w:szCs w:val="32"/>
          <w:rtl/>
        </w:rPr>
        <w:t>تخرجي</w:t>
      </w:r>
    </w:p>
    <w:p w14:paraId="3D5B621E" w14:textId="77777777" w:rsidR="00DB0F6F" w:rsidRPr="00072E71" w:rsidRDefault="00DB0F6F" w:rsidP="00540437">
      <w:pPr>
        <w:bidi/>
        <w:spacing w:after="0" w:line="240" w:lineRule="auto"/>
        <w:rPr>
          <w:rFonts w:ascii="Simplified Arabic" w:hAnsi="Simplified Arabic" w:cs="Simplified Arabic"/>
          <w:sz w:val="32"/>
          <w:szCs w:val="32"/>
        </w:rPr>
      </w:pPr>
      <w:r>
        <w:rPr>
          <w:rFonts w:ascii="Simplified Arabic" w:hAnsi="Simplified Arabic" w:cs="Simplified Arabic" w:hint="cs"/>
          <w:sz w:val="32"/>
          <w:szCs w:val="32"/>
          <w:rtl/>
        </w:rPr>
        <w:t>وشكرا</w:t>
      </w:r>
      <w:r>
        <w:rPr>
          <w:rFonts w:ascii="Simplified Arabic" w:hAnsi="Simplified Arabic" w:cs="Simplified Arabic"/>
          <w:sz w:val="32"/>
          <w:szCs w:val="32"/>
        </w:rPr>
        <w:t xml:space="preserve"> </w:t>
      </w:r>
      <w:r>
        <w:rPr>
          <w:rFonts w:ascii="Simplified Arabic" w:hAnsi="Simplified Arabic" w:cs="Simplified Arabic" w:hint="cs"/>
          <w:sz w:val="32"/>
          <w:szCs w:val="32"/>
          <w:rtl/>
        </w:rPr>
        <w:t>لكل</w:t>
      </w:r>
      <w:r>
        <w:rPr>
          <w:rFonts w:ascii="Simplified Arabic" w:hAnsi="Simplified Arabic" w:cs="Simplified Arabic"/>
          <w:sz w:val="32"/>
          <w:szCs w:val="32"/>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Pr>
        <w:t xml:space="preserve"> </w:t>
      </w:r>
      <w:r>
        <w:rPr>
          <w:rFonts w:ascii="Simplified Arabic" w:hAnsi="Simplified Arabic" w:cs="Simplified Arabic" w:hint="cs"/>
          <w:sz w:val="32"/>
          <w:szCs w:val="32"/>
          <w:rtl/>
        </w:rPr>
        <w:t>ساندني</w:t>
      </w:r>
      <w:r>
        <w:rPr>
          <w:rFonts w:ascii="Simplified Arabic" w:hAnsi="Simplified Arabic" w:cs="Simplified Arabic"/>
          <w:sz w:val="32"/>
          <w:szCs w:val="32"/>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Pr>
        <w:t xml:space="preserve"> </w:t>
      </w:r>
      <w:r>
        <w:rPr>
          <w:rFonts w:ascii="Simplified Arabic" w:hAnsi="Simplified Arabic" w:cs="Simplified Arabic" w:hint="cs"/>
          <w:sz w:val="32"/>
          <w:szCs w:val="32"/>
          <w:rtl/>
        </w:rPr>
        <w:t>طوال</w:t>
      </w:r>
      <w:r>
        <w:rPr>
          <w:rFonts w:ascii="Simplified Arabic" w:hAnsi="Simplified Arabic" w:cs="Simplified Arabic"/>
          <w:sz w:val="32"/>
          <w:szCs w:val="32"/>
        </w:rPr>
        <w:t xml:space="preserve"> </w:t>
      </w:r>
      <w:r>
        <w:rPr>
          <w:rFonts w:ascii="Simplified Arabic" w:hAnsi="Simplified Arabic" w:cs="Simplified Arabic" w:hint="cs"/>
          <w:sz w:val="32"/>
          <w:szCs w:val="32"/>
          <w:rtl/>
        </w:rPr>
        <w:t>رحلتي</w:t>
      </w:r>
      <w:r>
        <w:rPr>
          <w:rFonts w:ascii="Simplified Arabic" w:hAnsi="Simplified Arabic" w:cs="Simplified Arabic"/>
          <w:sz w:val="32"/>
          <w:szCs w:val="32"/>
        </w:rPr>
        <w:t xml:space="preserve"> </w:t>
      </w:r>
      <w:r>
        <w:rPr>
          <w:rFonts w:ascii="Simplified Arabic" w:hAnsi="Simplified Arabic" w:cs="Simplified Arabic" w:hint="cs"/>
          <w:sz w:val="32"/>
          <w:szCs w:val="32"/>
          <w:rtl/>
        </w:rPr>
        <w:t>الدراسية</w:t>
      </w:r>
      <w:r>
        <w:rPr>
          <w:rFonts w:ascii="Simplified Arabic" w:hAnsi="Simplified Arabic" w:cs="Simplified Arabic"/>
          <w:sz w:val="32"/>
          <w:szCs w:val="32"/>
        </w:rPr>
        <w:t>.</w:t>
      </w:r>
    </w:p>
    <w:p w14:paraId="75CFF7FB" w14:textId="77777777" w:rsidR="00DB0F6F" w:rsidRPr="00072E71" w:rsidRDefault="00DB0F6F" w:rsidP="00540437">
      <w:pPr>
        <w:bidi/>
        <w:spacing w:after="0" w:line="240" w:lineRule="auto"/>
        <w:rPr>
          <w:rFonts w:ascii="Simplified Arabic" w:hAnsi="Simplified Arabic" w:cs="Simplified Arabic"/>
          <w:sz w:val="32"/>
          <w:szCs w:val="32"/>
          <w:rtl/>
        </w:rPr>
      </w:pPr>
      <w:r>
        <w:rPr>
          <w:rFonts w:ascii="Simplified Arabic" w:hAnsi="Simplified Arabic" w:cs="Simplified Arabic" w:hint="cs"/>
          <w:sz w:val="32"/>
          <w:szCs w:val="32"/>
          <w:rtl/>
        </w:rPr>
        <w:t>وفي</w:t>
      </w:r>
      <w:r>
        <w:rPr>
          <w:rFonts w:ascii="Simplified Arabic" w:hAnsi="Simplified Arabic" w:cs="Simplified Arabic"/>
          <w:sz w:val="32"/>
          <w:szCs w:val="32"/>
        </w:rPr>
        <w:t xml:space="preserve"> </w:t>
      </w:r>
      <w:r>
        <w:rPr>
          <w:rFonts w:ascii="Simplified Arabic" w:hAnsi="Simplified Arabic" w:cs="Simplified Arabic" w:hint="cs"/>
          <w:sz w:val="32"/>
          <w:szCs w:val="32"/>
          <w:rtl/>
        </w:rPr>
        <w:t>الختام</w:t>
      </w:r>
      <w:r>
        <w:rPr>
          <w:rFonts w:ascii="Simplified Arabic" w:hAnsi="Simplified Arabic" w:cs="Simplified Arabic"/>
          <w:sz w:val="32"/>
          <w:szCs w:val="32"/>
        </w:rPr>
        <w:t xml:space="preserve"> </w:t>
      </w:r>
      <w:r>
        <w:rPr>
          <w:rFonts w:ascii="Simplified Arabic" w:hAnsi="Simplified Arabic" w:cs="Simplified Arabic" w:hint="cs"/>
          <w:sz w:val="32"/>
          <w:szCs w:val="32"/>
          <w:rtl/>
        </w:rPr>
        <w:t>أسأل</w:t>
      </w:r>
      <w:r>
        <w:rPr>
          <w:rFonts w:ascii="Simplified Arabic" w:hAnsi="Simplified Arabic" w:cs="Simplified Arabic"/>
          <w:sz w:val="32"/>
          <w:szCs w:val="32"/>
        </w:rPr>
        <w:t xml:space="preserve"> </w:t>
      </w:r>
      <w:r>
        <w:rPr>
          <w:rFonts w:ascii="Simplified Arabic" w:hAnsi="Simplified Arabic" w:cs="Simplified Arabic" w:hint="cs"/>
          <w:sz w:val="32"/>
          <w:szCs w:val="32"/>
          <w:rtl/>
        </w:rPr>
        <w:t>الله</w:t>
      </w:r>
      <w:r>
        <w:rPr>
          <w:rFonts w:ascii="Simplified Arabic" w:hAnsi="Simplified Arabic" w:cs="Simplified Arabic"/>
          <w:sz w:val="32"/>
          <w:szCs w:val="32"/>
        </w:rPr>
        <w:t xml:space="preserve"> </w:t>
      </w:r>
      <w:r>
        <w:rPr>
          <w:rFonts w:ascii="Simplified Arabic" w:hAnsi="Simplified Arabic" w:cs="Simplified Arabic" w:hint="cs"/>
          <w:sz w:val="32"/>
          <w:szCs w:val="32"/>
          <w:rtl/>
        </w:rPr>
        <w:t>التوفيق</w:t>
      </w:r>
      <w:r>
        <w:rPr>
          <w:rFonts w:ascii="Simplified Arabic" w:hAnsi="Simplified Arabic" w:cs="Simplified Arabic"/>
          <w:sz w:val="32"/>
          <w:szCs w:val="32"/>
        </w:rPr>
        <w:t xml:space="preserve"> </w:t>
      </w:r>
      <w:r>
        <w:rPr>
          <w:rFonts w:ascii="Simplified Arabic" w:hAnsi="Simplified Arabic" w:cs="Simplified Arabic" w:hint="cs"/>
          <w:sz w:val="32"/>
          <w:szCs w:val="32"/>
          <w:rtl/>
        </w:rPr>
        <w:t>والنجاح.</w:t>
      </w:r>
      <w:r>
        <w:rPr>
          <w:rFonts w:ascii="Simplified Arabic" w:hAnsi="Simplified Arabic" w:cs="Simplified Arabic"/>
          <w:sz w:val="32"/>
          <w:szCs w:val="32"/>
          <w:rtl/>
        </w:rPr>
        <w:t xml:space="preserve"> </w:t>
      </w:r>
    </w:p>
    <w:p w14:paraId="2E392EB9" w14:textId="77777777" w:rsidR="004B1BB8" w:rsidRDefault="004B1BB8" w:rsidP="00540437">
      <w:pPr>
        <w:bidi/>
        <w:rPr>
          <w:b/>
          <w:bCs/>
          <w:noProof/>
          <w:sz w:val="32"/>
          <w:szCs w:val="32"/>
          <w:rtl/>
        </w:rPr>
        <w:sectPr w:rsidR="004B1BB8" w:rsidSect="009F79D5">
          <w:footerReference w:type="default" r:id="rId10"/>
          <w:pgSz w:w="11907" w:h="16839" w:code="9"/>
          <w:pgMar w:top="1440" w:right="1440" w:bottom="1440" w:left="1440" w:header="720" w:footer="720" w:gutter="0"/>
          <w:pgNumType w:fmt="upperRoman" w:start="1"/>
          <w:cols w:space="720"/>
          <w:docGrid w:linePitch="360"/>
        </w:sectPr>
      </w:pPr>
    </w:p>
    <w:p w14:paraId="5F7464BD" w14:textId="77777777" w:rsidR="004B1BB8" w:rsidRDefault="004B1BB8" w:rsidP="004B1BB8">
      <w:pPr>
        <w:tabs>
          <w:tab w:val="left" w:pos="4538"/>
        </w:tabs>
        <w:jc w:val="center"/>
        <w:rPr>
          <w:b/>
          <w:bCs/>
          <w:noProof/>
          <w:sz w:val="96"/>
          <w:szCs w:val="96"/>
          <w:rtl/>
        </w:rPr>
      </w:pPr>
      <w:r>
        <w:rPr>
          <w:rFonts w:hint="cs"/>
          <w:b/>
          <w:bCs/>
          <w:noProof/>
          <w:sz w:val="96"/>
          <w:szCs w:val="96"/>
          <w:rtl/>
        </w:rPr>
        <w:lastRenderedPageBreak/>
        <w:t>الشكر</w:t>
      </w:r>
    </w:p>
    <w:p w14:paraId="0F498D17" w14:textId="77777777" w:rsidR="004B1BB8" w:rsidRPr="00DB0F6F" w:rsidRDefault="004B1BB8" w:rsidP="004B1BB8">
      <w:pPr>
        <w:bidi/>
        <w:rPr>
          <w:rFonts w:ascii="Simplified Arabic" w:hAnsi="Simplified Arabic" w:cs="Simplified Arabic"/>
          <w:b/>
          <w:bCs/>
          <w:sz w:val="32"/>
          <w:szCs w:val="32"/>
          <w:lang w:bidi="ar-DZ"/>
        </w:rPr>
      </w:pPr>
      <w:r>
        <w:rPr>
          <w:rFonts w:ascii="Simplified Arabic" w:hAnsi="Simplified Arabic" w:cs="Simplified Arabic"/>
          <w:bCs/>
          <w:sz w:val="32"/>
          <w:szCs w:val="32"/>
          <w:rtl/>
          <w:lang w:bidi="ar-DZ"/>
        </w:rPr>
        <w:t>لا بد لنا ونحن نخطو خطواتنا الأخيرة في الحياة الجامعية من وقفة تعود الى أعوام قضيناها في رحاب الجامعة مع أساتذتنا الكرام الذين قدموا لنا الكثير باذلين بذلك جهودا كبيرة في بناء جيل الغد لتبعث الأمة من جديد</w:t>
      </w:r>
    </w:p>
    <w:p w14:paraId="13B66A73" w14:textId="77777777" w:rsidR="004B1BB8" w:rsidRPr="00DB0F6F" w:rsidRDefault="004B1BB8" w:rsidP="004B1BB8">
      <w:pPr>
        <w:bidi/>
        <w:rPr>
          <w:rFonts w:ascii="Simplified Arabic" w:hAnsi="Simplified Arabic" w:cs="Simplified Arabic"/>
          <w:b/>
          <w:bCs/>
          <w:sz w:val="32"/>
          <w:szCs w:val="32"/>
          <w:lang w:bidi="ar-DZ"/>
        </w:rPr>
      </w:pPr>
      <w:r>
        <w:rPr>
          <w:rFonts w:ascii="Simplified Arabic" w:hAnsi="Simplified Arabic" w:cs="Simplified Arabic"/>
          <w:bCs/>
          <w:sz w:val="32"/>
          <w:szCs w:val="32"/>
          <w:rtl/>
          <w:lang w:bidi="ar-DZ"/>
        </w:rPr>
        <w:t xml:space="preserve">وقبل أن </w:t>
      </w:r>
      <w:proofErr w:type="gramStart"/>
      <w:r>
        <w:rPr>
          <w:rFonts w:ascii="Simplified Arabic" w:hAnsi="Simplified Arabic" w:cs="Simplified Arabic"/>
          <w:bCs/>
          <w:sz w:val="32"/>
          <w:szCs w:val="32"/>
          <w:rtl/>
          <w:lang w:bidi="ar-DZ"/>
        </w:rPr>
        <w:t xml:space="preserve">نمضي  </w:t>
      </w:r>
      <w:r>
        <w:rPr>
          <w:rFonts w:ascii="Simplified Arabic" w:hAnsi="Simplified Arabic" w:cs="Simplified Arabic" w:hint="cs"/>
          <w:bCs/>
          <w:sz w:val="32"/>
          <w:szCs w:val="32"/>
          <w:rtl/>
          <w:lang w:bidi="ar-DZ"/>
        </w:rPr>
        <w:t>ن</w:t>
      </w:r>
      <w:r>
        <w:rPr>
          <w:rFonts w:ascii="Simplified Arabic" w:hAnsi="Simplified Arabic" w:cs="Simplified Arabic"/>
          <w:bCs/>
          <w:sz w:val="32"/>
          <w:szCs w:val="32"/>
          <w:rtl/>
          <w:lang w:bidi="ar-DZ"/>
        </w:rPr>
        <w:t>تقدم</w:t>
      </w:r>
      <w:proofErr w:type="gramEnd"/>
      <w:r>
        <w:rPr>
          <w:rFonts w:ascii="Simplified Arabic" w:hAnsi="Simplified Arabic" w:cs="Simplified Arabic"/>
          <w:bCs/>
          <w:sz w:val="32"/>
          <w:szCs w:val="32"/>
          <w:rtl/>
          <w:lang w:bidi="ar-DZ"/>
        </w:rPr>
        <w:t xml:space="preserve"> بأسمى </w:t>
      </w:r>
      <w:proofErr w:type="spellStart"/>
      <w:r>
        <w:rPr>
          <w:rFonts w:ascii="Simplified Arabic" w:hAnsi="Simplified Arabic" w:cs="Simplified Arabic"/>
          <w:bCs/>
          <w:sz w:val="32"/>
          <w:szCs w:val="32"/>
          <w:rtl/>
          <w:lang w:bidi="ar-DZ"/>
        </w:rPr>
        <w:t>أيات</w:t>
      </w:r>
      <w:proofErr w:type="spellEnd"/>
      <w:r>
        <w:rPr>
          <w:rFonts w:ascii="Simplified Arabic" w:hAnsi="Simplified Arabic" w:cs="Simplified Arabic"/>
          <w:bCs/>
          <w:sz w:val="32"/>
          <w:szCs w:val="32"/>
          <w:rtl/>
          <w:lang w:bidi="ar-DZ"/>
        </w:rPr>
        <w:t xml:space="preserve"> الشكر </w:t>
      </w:r>
      <w:proofErr w:type="spellStart"/>
      <w:r>
        <w:rPr>
          <w:rFonts w:ascii="Simplified Arabic" w:hAnsi="Simplified Arabic" w:cs="Simplified Arabic"/>
          <w:bCs/>
          <w:sz w:val="32"/>
          <w:szCs w:val="32"/>
          <w:rtl/>
          <w:lang w:bidi="ar-DZ"/>
        </w:rPr>
        <w:t>والإمتنان</w:t>
      </w:r>
      <w:proofErr w:type="spellEnd"/>
      <w:r>
        <w:rPr>
          <w:rFonts w:ascii="Simplified Arabic" w:hAnsi="Simplified Arabic" w:cs="Simplified Arabic"/>
          <w:bCs/>
          <w:sz w:val="32"/>
          <w:szCs w:val="32"/>
          <w:rtl/>
          <w:lang w:bidi="ar-DZ"/>
        </w:rPr>
        <w:t xml:space="preserve"> والتقدير والمحبة إلى الذين </w:t>
      </w:r>
      <w:proofErr w:type="spellStart"/>
      <w:r>
        <w:rPr>
          <w:rFonts w:ascii="Simplified Arabic" w:hAnsi="Simplified Arabic" w:cs="Simplified Arabic"/>
          <w:bCs/>
          <w:sz w:val="32"/>
          <w:szCs w:val="32"/>
          <w:rtl/>
          <w:lang w:bidi="ar-DZ"/>
        </w:rPr>
        <w:t>حملو</w:t>
      </w:r>
      <w:proofErr w:type="spellEnd"/>
      <w:r>
        <w:rPr>
          <w:rFonts w:ascii="Simplified Arabic" w:hAnsi="Simplified Arabic" w:cs="Simplified Arabic"/>
          <w:bCs/>
          <w:sz w:val="32"/>
          <w:szCs w:val="32"/>
          <w:rtl/>
          <w:lang w:bidi="ar-DZ"/>
        </w:rPr>
        <w:t xml:space="preserve"> أقدس رسالة في الحياة</w:t>
      </w:r>
    </w:p>
    <w:p w14:paraId="581E6F01" w14:textId="77777777" w:rsidR="004B1BB8" w:rsidRPr="00DB0F6F" w:rsidRDefault="004B1BB8" w:rsidP="004B1BB8">
      <w:pPr>
        <w:bidi/>
        <w:rPr>
          <w:rFonts w:ascii="Simplified Arabic" w:hAnsi="Simplified Arabic" w:cs="Simplified Arabic"/>
          <w:b/>
          <w:bCs/>
          <w:sz w:val="32"/>
          <w:szCs w:val="32"/>
          <w:lang w:bidi="ar-DZ"/>
        </w:rPr>
      </w:pPr>
      <w:r>
        <w:rPr>
          <w:rFonts w:ascii="Simplified Arabic" w:hAnsi="Simplified Arabic" w:cs="Simplified Arabic"/>
          <w:bCs/>
          <w:sz w:val="32"/>
          <w:szCs w:val="32"/>
          <w:rtl/>
          <w:lang w:bidi="ar-DZ"/>
        </w:rPr>
        <w:t>إلى الذين مهدوا لنا طريق العلم والمعرفة</w:t>
      </w:r>
    </w:p>
    <w:p w14:paraId="2295602B" w14:textId="77777777" w:rsidR="004B1BB8" w:rsidRPr="00DB0F6F" w:rsidRDefault="004B1BB8" w:rsidP="004B1BB8">
      <w:pPr>
        <w:bidi/>
        <w:rPr>
          <w:rFonts w:ascii="Simplified Arabic" w:hAnsi="Simplified Arabic" w:cs="Simplified Arabic"/>
          <w:b/>
          <w:bCs/>
          <w:sz w:val="32"/>
          <w:szCs w:val="32"/>
          <w:lang w:bidi="ar-DZ"/>
        </w:rPr>
      </w:pPr>
      <w:r>
        <w:rPr>
          <w:rFonts w:ascii="Simplified Arabic" w:hAnsi="Simplified Arabic" w:cs="Simplified Arabic"/>
          <w:bCs/>
          <w:sz w:val="32"/>
          <w:szCs w:val="32"/>
          <w:rtl/>
          <w:lang w:bidi="ar-DZ"/>
        </w:rPr>
        <w:t xml:space="preserve">إلى جميع أساتذتنا الأفاضل أستاذة كلية </w:t>
      </w:r>
      <w:r>
        <w:rPr>
          <w:rFonts w:ascii="Simplified Arabic" w:hAnsi="Simplified Arabic" w:cs="Simplified Arabic" w:hint="cs"/>
          <w:bCs/>
          <w:sz w:val="32"/>
          <w:szCs w:val="32"/>
          <w:rtl/>
          <w:lang w:bidi="ar-DZ"/>
        </w:rPr>
        <w:t xml:space="preserve">العلوم الاقتصادية والتجارية وعلوم </w:t>
      </w:r>
      <w:proofErr w:type="gramStart"/>
      <w:r>
        <w:rPr>
          <w:rFonts w:ascii="Simplified Arabic" w:hAnsi="Simplified Arabic" w:cs="Simplified Arabic" w:hint="cs"/>
          <w:bCs/>
          <w:sz w:val="32"/>
          <w:szCs w:val="32"/>
          <w:rtl/>
          <w:lang w:bidi="ar-DZ"/>
        </w:rPr>
        <w:t xml:space="preserve">التسيير </w:t>
      </w:r>
      <w:r>
        <w:rPr>
          <w:rFonts w:ascii="Simplified Arabic" w:hAnsi="Simplified Arabic" w:cs="Simplified Arabic"/>
          <w:bCs/>
          <w:sz w:val="32"/>
          <w:szCs w:val="32"/>
          <w:rtl/>
          <w:lang w:bidi="ar-DZ"/>
        </w:rPr>
        <w:t xml:space="preserve"> لجامعة</w:t>
      </w:r>
      <w:proofErr w:type="gramEnd"/>
      <w:r>
        <w:rPr>
          <w:rFonts w:ascii="Simplified Arabic" w:hAnsi="Simplified Arabic" w:cs="Simplified Arabic"/>
          <w:bCs/>
          <w:sz w:val="32"/>
          <w:szCs w:val="32"/>
          <w:rtl/>
          <w:lang w:bidi="ar-DZ"/>
        </w:rPr>
        <w:t xml:space="preserve"> غرداية</w:t>
      </w:r>
    </w:p>
    <w:p w14:paraId="57970D30" w14:textId="77777777" w:rsidR="004B1BB8" w:rsidRPr="00DB0F6F" w:rsidRDefault="004B1BB8" w:rsidP="004B1BB8">
      <w:pPr>
        <w:bidi/>
        <w:rPr>
          <w:rFonts w:ascii="Simplified Arabic" w:hAnsi="Simplified Arabic" w:cs="Simplified Arabic"/>
          <w:b/>
          <w:bCs/>
          <w:sz w:val="32"/>
          <w:szCs w:val="32"/>
          <w:lang w:bidi="ar-DZ"/>
        </w:rPr>
      </w:pPr>
      <w:r>
        <w:rPr>
          <w:rFonts w:ascii="Simplified Arabic" w:hAnsi="Simplified Arabic" w:cs="Simplified Arabic"/>
          <w:bCs/>
          <w:sz w:val="32"/>
          <w:szCs w:val="32"/>
          <w:rtl/>
          <w:lang w:bidi="ar-DZ"/>
        </w:rPr>
        <w:t xml:space="preserve">كن </w:t>
      </w:r>
      <w:proofErr w:type="gramStart"/>
      <w:r>
        <w:rPr>
          <w:rFonts w:ascii="Simplified Arabic" w:hAnsi="Simplified Arabic" w:cs="Simplified Arabic"/>
          <w:bCs/>
          <w:sz w:val="32"/>
          <w:szCs w:val="32"/>
          <w:rtl/>
          <w:lang w:bidi="ar-DZ"/>
        </w:rPr>
        <w:t>عالما ،فإن</w:t>
      </w:r>
      <w:proofErr w:type="gramEnd"/>
      <w:r>
        <w:rPr>
          <w:rFonts w:ascii="Simplified Arabic" w:hAnsi="Simplified Arabic" w:cs="Simplified Arabic"/>
          <w:bCs/>
          <w:sz w:val="32"/>
          <w:szCs w:val="32"/>
          <w:rtl/>
          <w:lang w:bidi="ar-DZ"/>
        </w:rPr>
        <w:t xml:space="preserve"> لم تستطع  فكن متعلما، فإن لم تستطع فأحب العلماء، فإن لم تستطع فلا تبغضهم</w:t>
      </w:r>
      <w:r>
        <w:rPr>
          <w:rFonts w:ascii="Simplified Arabic" w:hAnsi="Simplified Arabic" w:cs="Simplified Arabic"/>
          <w:bCs/>
          <w:sz w:val="32"/>
          <w:szCs w:val="32"/>
          <w:lang w:bidi="ar-DZ"/>
        </w:rPr>
        <w:t xml:space="preserve"> .</w:t>
      </w:r>
    </w:p>
    <w:p w14:paraId="58E1D3C9" w14:textId="77777777" w:rsidR="004B1BB8" w:rsidRPr="00DB0F6F" w:rsidRDefault="004B1BB8" w:rsidP="004B1BB8">
      <w:pPr>
        <w:bidi/>
        <w:rPr>
          <w:rFonts w:ascii="Simplified Arabic" w:hAnsi="Simplified Arabic" w:cs="Simplified Arabic"/>
          <w:bCs/>
          <w:sz w:val="32"/>
          <w:szCs w:val="32"/>
          <w:rtl/>
          <w:lang w:bidi="ar-DZ"/>
        </w:rPr>
      </w:pPr>
      <w:r>
        <w:rPr>
          <w:rFonts w:ascii="Simplified Arabic" w:hAnsi="Simplified Arabic" w:cs="Simplified Arabic"/>
          <w:bCs/>
          <w:sz w:val="32"/>
          <w:szCs w:val="32"/>
          <w:rtl/>
          <w:lang w:bidi="ar-DZ"/>
        </w:rPr>
        <w:t xml:space="preserve">الى من </w:t>
      </w:r>
      <w:proofErr w:type="gramStart"/>
      <w:r>
        <w:rPr>
          <w:rFonts w:ascii="Simplified Arabic" w:hAnsi="Simplified Arabic" w:cs="Simplified Arabic"/>
          <w:bCs/>
          <w:sz w:val="32"/>
          <w:szCs w:val="32"/>
          <w:rtl/>
          <w:lang w:bidi="ar-DZ"/>
        </w:rPr>
        <w:t>كان  عونا</w:t>
      </w:r>
      <w:proofErr w:type="gramEnd"/>
      <w:r>
        <w:rPr>
          <w:rFonts w:ascii="Simplified Arabic" w:hAnsi="Simplified Arabic" w:cs="Simplified Arabic"/>
          <w:bCs/>
          <w:sz w:val="32"/>
          <w:szCs w:val="32"/>
          <w:rtl/>
          <w:lang w:bidi="ar-DZ"/>
        </w:rPr>
        <w:t xml:space="preserve"> لنا في بحثنا هذا ونورا يضيء الظلمة ال</w:t>
      </w:r>
      <w:r>
        <w:rPr>
          <w:rFonts w:ascii="Simplified Arabic" w:hAnsi="Simplified Arabic" w:cs="Simplified Arabic" w:hint="cs"/>
          <w:bCs/>
          <w:sz w:val="32"/>
          <w:szCs w:val="32"/>
          <w:rtl/>
          <w:lang w:bidi="ar-DZ"/>
        </w:rPr>
        <w:t>ذ</w:t>
      </w:r>
      <w:r>
        <w:rPr>
          <w:rFonts w:ascii="Simplified Arabic" w:hAnsi="Simplified Arabic" w:cs="Simplified Arabic"/>
          <w:bCs/>
          <w:sz w:val="32"/>
          <w:szCs w:val="32"/>
          <w:rtl/>
          <w:lang w:bidi="ar-DZ"/>
        </w:rPr>
        <w:t xml:space="preserve">ي كان </w:t>
      </w:r>
      <w:r>
        <w:rPr>
          <w:rFonts w:ascii="Simplified Arabic" w:hAnsi="Simplified Arabic" w:cs="Simplified Arabic" w:hint="cs"/>
          <w:bCs/>
          <w:sz w:val="32"/>
          <w:szCs w:val="32"/>
          <w:rtl/>
          <w:lang w:bidi="ar-DZ"/>
        </w:rPr>
        <w:t>ي</w:t>
      </w:r>
      <w:r>
        <w:rPr>
          <w:rFonts w:ascii="Simplified Arabic" w:hAnsi="Simplified Arabic" w:cs="Simplified Arabic"/>
          <w:bCs/>
          <w:sz w:val="32"/>
          <w:szCs w:val="32"/>
          <w:rtl/>
          <w:lang w:bidi="ar-DZ"/>
        </w:rPr>
        <w:t>قف أحيانا في طريقنا دون أن يشعر بدوره بذلك ال</w:t>
      </w:r>
      <w:r>
        <w:rPr>
          <w:rFonts w:ascii="Simplified Arabic" w:hAnsi="Simplified Arabic" w:cs="Simplified Arabic" w:hint="cs"/>
          <w:bCs/>
          <w:sz w:val="32"/>
          <w:szCs w:val="32"/>
          <w:rtl/>
          <w:lang w:bidi="ar-DZ"/>
        </w:rPr>
        <w:t xml:space="preserve">استاذ المشرف الدكتور </w:t>
      </w:r>
      <w:r>
        <w:rPr>
          <w:rFonts w:ascii="Simplified Arabic" w:hAnsi="Simplified Arabic" w:cs="Simplified Arabic"/>
          <w:bCs/>
          <w:sz w:val="32"/>
          <w:szCs w:val="32"/>
          <w:rtl/>
          <w:lang w:bidi="ar-DZ"/>
        </w:rPr>
        <w:t xml:space="preserve"> </w:t>
      </w:r>
      <w:r>
        <w:rPr>
          <w:rFonts w:ascii="Simplified Arabic" w:hAnsi="Simplified Arabic" w:cs="Simplified Arabic" w:hint="cs"/>
          <w:bCs/>
          <w:sz w:val="32"/>
          <w:szCs w:val="32"/>
          <w:rtl/>
          <w:lang w:bidi="ar-DZ"/>
        </w:rPr>
        <w:t xml:space="preserve">بن جواد مسعود </w:t>
      </w:r>
      <w:r>
        <w:rPr>
          <w:rFonts w:ascii="Simplified Arabic" w:hAnsi="Simplified Arabic" w:cs="Simplified Arabic"/>
          <w:bCs/>
          <w:sz w:val="32"/>
          <w:szCs w:val="32"/>
          <w:rtl/>
          <w:lang w:bidi="ar-DZ"/>
        </w:rPr>
        <w:t xml:space="preserve"> فله منا كل الشكر و الامتنان  و </w:t>
      </w:r>
      <w:r>
        <w:rPr>
          <w:rFonts w:ascii="Simplified Arabic" w:hAnsi="Simplified Arabic" w:cs="Simplified Arabic" w:hint="cs"/>
          <w:bCs/>
          <w:sz w:val="32"/>
          <w:szCs w:val="32"/>
          <w:rtl/>
          <w:lang w:bidi="ar-DZ"/>
        </w:rPr>
        <w:t>ن</w:t>
      </w:r>
      <w:r>
        <w:rPr>
          <w:rFonts w:ascii="Simplified Arabic" w:hAnsi="Simplified Arabic" w:cs="Simplified Arabic"/>
          <w:bCs/>
          <w:sz w:val="32"/>
          <w:szCs w:val="32"/>
          <w:rtl/>
          <w:lang w:bidi="ar-DZ"/>
        </w:rPr>
        <w:t>شكر ا</w:t>
      </w:r>
      <w:r>
        <w:rPr>
          <w:rFonts w:ascii="Simplified Arabic" w:hAnsi="Simplified Arabic" w:cs="Simplified Arabic" w:hint="cs"/>
          <w:bCs/>
          <w:sz w:val="32"/>
          <w:szCs w:val="32"/>
          <w:rtl/>
          <w:lang w:bidi="ar-DZ"/>
        </w:rPr>
        <w:t>ي</w:t>
      </w:r>
      <w:r>
        <w:rPr>
          <w:rFonts w:ascii="Simplified Arabic" w:hAnsi="Simplified Arabic" w:cs="Simplified Arabic"/>
          <w:bCs/>
          <w:sz w:val="32"/>
          <w:szCs w:val="32"/>
          <w:rtl/>
          <w:lang w:bidi="ar-DZ"/>
        </w:rPr>
        <w:t>ضا اللجنة المناقشة</w:t>
      </w:r>
    </w:p>
    <w:p w14:paraId="2377DF6B" w14:textId="77777777" w:rsidR="004B1BB8" w:rsidRDefault="004B1BB8" w:rsidP="00540437">
      <w:pPr>
        <w:bidi/>
        <w:rPr>
          <w:b/>
          <w:bCs/>
          <w:noProof/>
          <w:sz w:val="32"/>
          <w:szCs w:val="32"/>
          <w:rtl/>
          <w:lang w:bidi="ar-DZ"/>
        </w:rPr>
        <w:sectPr w:rsidR="004B1BB8" w:rsidSect="009F79D5">
          <w:pgSz w:w="11907" w:h="16839" w:code="9"/>
          <w:pgMar w:top="1440" w:right="1440" w:bottom="1440" w:left="1440" w:header="720" w:footer="720" w:gutter="0"/>
          <w:pgNumType w:fmt="upperRoman" w:start="1"/>
          <w:cols w:space="720"/>
          <w:docGrid w:linePitch="360"/>
        </w:sectPr>
      </w:pPr>
    </w:p>
    <w:p w14:paraId="1AA901F9" w14:textId="14F55984" w:rsidR="00282CEF" w:rsidRDefault="00282CEF" w:rsidP="00540437">
      <w:pPr>
        <w:bidi/>
        <w:rPr>
          <w:b/>
          <w:bCs/>
          <w:noProof/>
          <w:sz w:val="32"/>
          <w:szCs w:val="32"/>
          <w:rtl/>
        </w:rPr>
      </w:pPr>
      <w:r>
        <w:rPr>
          <w:rFonts w:hint="cs"/>
          <w:b/>
          <w:bCs/>
          <w:noProof/>
          <w:sz w:val="32"/>
          <w:szCs w:val="32"/>
          <w:rtl/>
        </w:rPr>
        <w:lastRenderedPageBreak/>
        <w:t xml:space="preserve">ملخص الدراسة </w:t>
      </w:r>
    </w:p>
    <w:p w14:paraId="60BD5BE9" w14:textId="77777777" w:rsidR="00B40484" w:rsidRPr="00D662F2" w:rsidRDefault="00B40484" w:rsidP="00540437">
      <w:pPr>
        <w:bidi/>
        <w:ind w:firstLine="720"/>
        <w:rPr>
          <w:rFonts w:ascii="Traditional Arabic" w:hAnsi="Traditional Arabic" w:cs="Traditional Arabic"/>
          <w:noProof/>
          <w:sz w:val="32"/>
          <w:szCs w:val="32"/>
        </w:rPr>
      </w:pPr>
      <w:r>
        <w:rPr>
          <w:rFonts w:ascii="Traditional Arabic" w:hAnsi="Traditional Arabic" w:cs="Traditional Arabic" w:hint="cs"/>
          <w:noProof/>
          <w:sz w:val="32"/>
          <w:szCs w:val="32"/>
          <w:rtl/>
        </w:rPr>
        <w:t>تهدف هذه الدراسة إلى إبراز دور التوريق كآلية لإدارة المخاطر المصرفية، من خلال دراسة تطبيقية على تجربة البنك الأهلي السعودي خلال الفترة 2019–2023، منطلقةً من إشكالية محورية مفادها: إلى أي مدى يساهم التوريق في تحسين إدارة المخاطر المصرفية؟</w:t>
      </w:r>
      <w:r>
        <w:rPr>
          <w:rFonts w:ascii="Traditional Arabic" w:hAnsi="Traditional Arabic" w:cs="Traditional Arabic"/>
          <w:noProof/>
          <w:sz w:val="32"/>
          <w:szCs w:val="32"/>
        </w:rPr>
        <w:t>.</w:t>
      </w:r>
    </w:p>
    <w:p w14:paraId="5B7BEB29" w14:textId="77777777" w:rsidR="00B40484" w:rsidRPr="00D662F2" w:rsidRDefault="00B40484" w:rsidP="00540437">
      <w:pPr>
        <w:bidi/>
        <w:rPr>
          <w:rFonts w:ascii="Traditional Arabic" w:hAnsi="Traditional Arabic" w:cs="Traditional Arabic"/>
          <w:noProof/>
          <w:sz w:val="32"/>
          <w:szCs w:val="32"/>
        </w:rPr>
      </w:pPr>
      <w:r>
        <w:rPr>
          <w:rFonts w:ascii="Traditional Arabic" w:hAnsi="Traditional Arabic" w:cs="Traditional Arabic"/>
          <w:noProof/>
          <w:sz w:val="32"/>
          <w:szCs w:val="32"/>
          <w:rtl/>
        </w:rPr>
        <w:t>اعتمدت الدراسة على المنهج الوصفي التحليلي عبر شقين: نظري يستعرض مفهوم التوريق وآلياته وأطرافه وعلاقته بإدارة المخاطر، وتطبيقي يحلل تقارير البنك الأهلي السعودي. وتوصلت إلى أن التوريق أسهم في خفض نسبة الديون المتعثرة من 2.8% إلى 2.1%، ورفع نسبة تغطية السيولة (LCR) من 118% إلى 156%، وتحسين كفاية رأس المال (CAR) بمقدار 5.9 نقطة مئوية، وتقليص فجوة آجال الاستحقاق بنسبة 41%، عبر تخفيض الأصول المرجحة بالمخاطر (RWA) بنسبة 6.6% وفق متطلبات بازل 3. كما خلصت إلى أن نجاح التوريق يستلزم بيئة تشريعية متكاملة وأسواقاً مالية نشطة ووكالات تصنيف ائتماني متخصصة.</w:t>
      </w:r>
      <w:r>
        <w:rPr>
          <w:rFonts w:ascii="Traditional Arabic" w:hAnsi="Traditional Arabic" w:cs="Traditional Arabic"/>
          <w:noProof/>
          <w:sz w:val="32"/>
          <w:szCs w:val="32"/>
        </w:rPr>
        <w:t xml:space="preserve"> (SPV)</w:t>
      </w:r>
      <w:r>
        <w:rPr>
          <w:rFonts w:ascii="Traditional Arabic" w:hAnsi="Traditional Arabic" w:cs="Traditional Arabic"/>
          <w:noProof/>
          <w:sz w:val="32"/>
          <w:szCs w:val="32"/>
          <w:rtl/>
        </w:rPr>
        <w:t>، وشق تطبيقي ركّز على تحليل البيانات والتقارير المالية للبنك الأهلي السعودي للفترة الممتدة بين 2019 و2023. وأظهرت النتائج التطبيقية نجاحاً ملموساً للتوريق في رفع كفاءة البنك الماليّة؛ حيث أسهم في تطهير ميزانيته وخفض الأصول المرجحة بالمخاطر</w:t>
      </w:r>
      <w:r>
        <w:rPr>
          <w:rFonts w:ascii="Traditional Arabic" w:hAnsi="Traditional Arabic" w:cs="Traditional Arabic"/>
          <w:noProof/>
          <w:sz w:val="32"/>
          <w:szCs w:val="32"/>
        </w:rPr>
        <w:t xml:space="preserve"> (RWA)</w:t>
      </w:r>
      <w:r>
        <w:rPr>
          <w:rFonts w:ascii="Traditional Arabic" w:hAnsi="Traditional Arabic" w:cs="Traditional Arabic"/>
          <w:noProof/>
          <w:sz w:val="32"/>
          <w:szCs w:val="32"/>
          <w:rtl/>
        </w:rPr>
        <w:t>، الأمر الذي أدى مباشرة إلى تحسين نسبة كفاية رأس المال</w:t>
      </w:r>
      <w:r>
        <w:rPr>
          <w:rFonts w:ascii="Traditional Arabic" w:hAnsi="Traditional Arabic" w:cs="Traditional Arabic"/>
          <w:noProof/>
          <w:sz w:val="32"/>
          <w:szCs w:val="32"/>
        </w:rPr>
        <w:t xml:space="preserve"> (CAR) </w:t>
      </w:r>
      <w:r>
        <w:rPr>
          <w:rFonts w:ascii="Traditional Arabic" w:hAnsi="Traditional Arabic" w:cs="Traditional Arabic"/>
          <w:noProof/>
          <w:sz w:val="32"/>
          <w:szCs w:val="32"/>
          <w:rtl/>
        </w:rPr>
        <w:t>تماشياً مع متطلبات لجنة بازل 3، فضلاً عن توفير تدفقات نقدية فورية عزّزت من مستويات السيولة لديه. وفي المقابل، خلصت الدراسة عند تحليل الواقع الجزائري إلى وجود تحديات وعقبات هيكلية وتشريعية جوهرية تحول دون التطبيق الفوري والآمن لهذه الآلية؛ أبرزها غياب الإطار القانوني والتنظيمي المُنظِّم لشركات الغرض الخاص، وضيق وركود السوق المالية المحلية (بورصة الجزائر)، بالإضافة إلى غياب وكالات التصنيف الائتماني المتخصصة التي تبني الثقة بين المستثمرين، مما يستدعي إصلاحات جذرية وشاملة للمنظومة المصرفية والمالية في الجزائر للاستفادة مستقبلاً من هذه الهندسة المالية</w:t>
      </w:r>
      <w:r>
        <w:rPr>
          <w:rFonts w:ascii="Traditional Arabic" w:hAnsi="Traditional Arabic" w:cs="Traditional Arabic"/>
          <w:noProof/>
          <w:sz w:val="32"/>
          <w:szCs w:val="32"/>
        </w:rPr>
        <w:t>.</w:t>
      </w:r>
    </w:p>
    <w:p w14:paraId="3BF964DA" w14:textId="04340351" w:rsidR="00941C02" w:rsidRPr="00F5637A" w:rsidRDefault="00282CEF" w:rsidP="00540437">
      <w:pPr>
        <w:bidi/>
        <w:rPr>
          <w:rFonts w:ascii="Traditional Arabic" w:hAnsi="Traditional Arabic" w:cs="Traditional Arabic"/>
          <w:noProof/>
          <w:sz w:val="32"/>
          <w:szCs w:val="32"/>
        </w:rPr>
      </w:pPr>
      <w:r>
        <w:rPr>
          <w:b/>
          <w:bCs/>
          <w:noProof/>
          <w:sz w:val="32"/>
          <w:szCs w:val="32"/>
          <w:rtl/>
        </w:rPr>
        <w:t xml:space="preserve">الكلمات </w:t>
      </w:r>
      <w:r w:rsidR="004B1BB8">
        <w:rPr>
          <w:rFonts w:hint="cs"/>
          <w:b/>
          <w:bCs/>
          <w:noProof/>
          <w:sz w:val="32"/>
          <w:szCs w:val="32"/>
          <w:rtl/>
        </w:rPr>
        <w:t>المفتاحية</w:t>
      </w:r>
      <w:r w:rsidR="004B1BB8">
        <w:rPr>
          <w:b/>
          <w:bCs/>
          <w:noProof/>
          <w:sz w:val="32"/>
          <w:szCs w:val="32"/>
        </w:rPr>
        <w:t>:</w:t>
      </w:r>
      <w:r w:rsidR="004B1BB8" w:rsidRPr="004B1BB8">
        <w:rPr>
          <w:rFonts w:ascii="Traditional Arabic" w:hAnsi="Traditional Arabic" w:cs="Traditional Arabic" w:hint="cs"/>
          <w:sz w:val="32"/>
          <w:szCs w:val="32"/>
          <w:rtl/>
        </w:rPr>
        <w:t xml:space="preserve"> </w:t>
      </w:r>
      <w:proofErr w:type="gramStart"/>
      <w:r w:rsidR="004B1BB8" w:rsidRPr="004B1BB8">
        <w:rPr>
          <w:rFonts w:ascii="Traditional Arabic" w:hAnsi="Traditional Arabic" w:cs="Traditional Arabic" w:hint="cs"/>
          <w:sz w:val="32"/>
          <w:szCs w:val="32"/>
          <w:rtl/>
        </w:rPr>
        <w:t>البنك</w:t>
      </w:r>
      <w:r>
        <w:rPr>
          <w:rFonts w:ascii="Traditional Arabic" w:hAnsi="Traditional Arabic" w:cs="Traditional Arabic"/>
          <w:sz w:val="32"/>
          <w:szCs w:val="32"/>
          <w:rtl/>
        </w:rPr>
        <w:t xml:space="preserve"> ،</w:t>
      </w:r>
      <w:proofErr w:type="gramEnd"/>
      <w:r>
        <w:rPr>
          <w:rFonts w:ascii="Traditional Arabic" w:hAnsi="Traditional Arabic" w:cs="Traditional Arabic"/>
          <w:sz w:val="32"/>
          <w:szCs w:val="32"/>
          <w:rtl/>
        </w:rPr>
        <w:t xml:space="preserve"> المخاطر الائتمانية ، التوريق المصرفي ، إدارة المخاطر المصرفية ، السيولة</w:t>
      </w:r>
    </w:p>
    <w:p w14:paraId="699EDAAE" w14:textId="77777777" w:rsidR="00282CEF" w:rsidRDefault="00282CEF" w:rsidP="00540437">
      <w:pPr>
        <w:bidi/>
        <w:rPr>
          <w:b/>
          <w:bCs/>
          <w:noProof/>
          <w:sz w:val="96"/>
          <w:szCs w:val="96"/>
        </w:rPr>
      </w:pPr>
      <w:r>
        <w:rPr>
          <w:b/>
          <w:bCs/>
          <w:noProof/>
          <w:sz w:val="96"/>
          <w:szCs w:val="96"/>
        </w:rPr>
        <w:br w:type="page"/>
      </w:r>
    </w:p>
    <w:p w14:paraId="0E383D19" w14:textId="77777777" w:rsidR="00282CEF" w:rsidRDefault="00282CEF" w:rsidP="00540437">
      <w:pPr>
        <w:spacing w:after="0" w:line="240" w:lineRule="auto"/>
        <w:rPr>
          <w:rFonts w:ascii="Traditional Arabic" w:hAnsi="Traditional Arabic" w:cs="Traditional Arabic"/>
          <w:b/>
          <w:bCs/>
          <w:sz w:val="36"/>
          <w:szCs w:val="36"/>
          <w:rtl/>
          <w:lang w:bidi="ar-DZ"/>
        </w:rPr>
      </w:pPr>
      <w:r>
        <w:rPr>
          <w:rFonts w:ascii="Traditional Arabic" w:hAnsi="Traditional Arabic" w:cs="Traditional Arabic"/>
          <w:b/>
          <w:bCs/>
          <w:sz w:val="36"/>
          <w:szCs w:val="36"/>
          <w:lang w:bidi="ar-DZ"/>
        </w:rPr>
        <w:lastRenderedPageBreak/>
        <w:t>Abstract</w:t>
      </w:r>
      <w:r>
        <w:rPr>
          <w:rFonts w:ascii="Traditional Arabic" w:hAnsi="Traditional Arabic" w:cs="Traditional Arabic"/>
          <w:b/>
          <w:bCs/>
          <w:sz w:val="36"/>
          <w:szCs w:val="36"/>
          <w:rtl/>
          <w:lang w:bidi="ar-DZ"/>
        </w:rPr>
        <w:t>:</w:t>
      </w:r>
    </w:p>
    <w:p w14:paraId="1E8CB38A" w14:textId="77777777" w:rsidR="00B40484" w:rsidRPr="00B40484" w:rsidRDefault="00B40484" w:rsidP="00540437">
      <w:pPr>
        <w:spacing w:after="0" w:line="240" w:lineRule="auto"/>
        <w:ind w:firstLine="720"/>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This study aims to shed light on "Securitization as a Mechanism for Banking Risk Management," applying</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it to the experience of the "Saudi National Bank." The core problem of the research stems from an attempt to adapt and understand this newly introduced financial method, which is based on converting illiquid assets and debts (such as loans) into tradable securities in the market. The objective is to explore its effectiveness in mitigating major banking risks, such as credit and liquidity risks, and to attempt to project this experience onto the Algerian banking system.</w:t>
      </w:r>
    </w:p>
    <w:p w14:paraId="16D0653D" w14:textId="77777777" w:rsidR="00B40484" w:rsidRPr="00B40484" w:rsidRDefault="00B40484" w:rsidP="00540437">
      <w:pPr>
        <w:spacing w:after="0" w:line="240" w:lineRule="auto"/>
        <w:rPr>
          <w:rFonts w:ascii="Traditional Arabic" w:hAnsi="Traditional Arabic" w:cs="Traditional Arabic"/>
          <w:sz w:val="32"/>
          <w:szCs w:val="32"/>
          <w:lang w:bidi="ar-DZ"/>
        </w:rPr>
      </w:pPr>
      <w:r>
        <w:rPr>
          <w:rFonts w:ascii="Traditional Arabic" w:hAnsi="Traditional Arabic" w:cs="Traditional Arabic"/>
          <w:sz w:val="32"/>
          <w:szCs w:val="32"/>
          <w:lang w:bidi="ar-DZ"/>
        </w:rPr>
        <w:t>The study adopted a descriptive-analytical approach divided into two parts: a theoretical framework that reviewed the literature on securitization, its procedures, and its key actors—such as Special Purpose Vehicles (SPVs)—and an empirical part focused on analyzing the financial data and reports of the Saudi National Bank for the period between 2019 and 2023. The empirical results demonstrated a tangible success for securitization in enhancing the bank's financial efficiency. It contributed to cleaning up its balance sheet and reducing risk-weighted assets (RWA), which directly led to improving the Capital Adequacy Ratio (CAR) in line with Basel III requirements, in addition to providing immediate cash flows that boosted its liquidity levels.</w:t>
      </w:r>
    </w:p>
    <w:p w14:paraId="53C8A02A" w14:textId="77777777" w:rsidR="00B40484" w:rsidRPr="00B40484" w:rsidRDefault="00B40484" w:rsidP="00540437">
      <w:pPr>
        <w:spacing w:after="0" w:line="240" w:lineRule="auto"/>
        <w:rPr>
          <w:rFonts w:ascii="Traditional Arabic" w:hAnsi="Traditional Arabic" w:cs="Traditional Arabic"/>
          <w:sz w:val="32"/>
          <w:szCs w:val="32"/>
          <w:lang w:bidi="ar-DZ"/>
        </w:rPr>
      </w:pPr>
      <w:r>
        <w:rPr>
          <w:rFonts w:ascii="Traditional Arabic" w:hAnsi="Traditional Arabic" w:cs="Traditional Arabic"/>
          <w:sz w:val="32"/>
          <w:szCs w:val="32"/>
          <w:lang w:bidi="ar-DZ"/>
        </w:rPr>
        <w:t xml:space="preserve">Conversely, when analyzing the Algerian context, the study concluded that there are fundamental structural and legislative challenges and obstacles preventing the immediate and safe implementation of this mechanism. Most notably, these include the absence of a legal and regulatory framework governing Special Purpose Vehicles, the narrowness and stagnation of the local financial market (the Algiers Stock Exchange), and the lack of specialized credit rating agencies to build investor confidence. This necessitates radical and comprehensive </w:t>
      </w:r>
      <w:r>
        <w:rPr>
          <w:rFonts w:ascii="Traditional Arabic" w:hAnsi="Traditional Arabic" w:cs="Traditional Arabic"/>
          <w:sz w:val="32"/>
          <w:szCs w:val="32"/>
          <w:lang w:bidi="ar-DZ"/>
        </w:rPr>
        <w:lastRenderedPageBreak/>
        <w:t>reforms within the banking and financial system in Algeria to leverage this financial engineering in the future.</w:t>
      </w:r>
    </w:p>
    <w:p w14:paraId="52B53E47" w14:textId="476D33F4" w:rsidR="00F5637A" w:rsidRDefault="00282CEF" w:rsidP="00540437">
      <w:pPr>
        <w:pStyle w:val="NormalWeb"/>
      </w:pPr>
      <w:r>
        <w:rPr>
          <w:rFonts w:ascii="Traditional Arabic" w:hAnsi="Traditional Arabic" w:cs="Traditional Arabic"/>
          <w:b/>
          <w:bCs/>
          <w:sz w:val="28"/>
          <w:szCs w:val="28"/>
          <w:lang w:bidi="ar-DZ"/>
        </w:rPr>
        <w:t>Keywords:</w:t>
      </w:r>
      <w:r>
        <w:rPr>
          <w:rFonts w:ascii="Traditional Arabic" w:hAnsi="Traditional Arabic" w:cs="Traditional Arabic"/>
          <w:b/>
          <w:bCs/>
          <w:sz w:val="28"/>
          <w:szCs w:val="28"/>
          <w:lang w:bidi="ar-DZ"/>
        </w:rPr>
        <w:br/>
      </w:r>
      <w:r>
        <w:rPr>
          <w:rFonts w:ascii="Traditional Arabic" w:hAnsi="Traditional Arabic" w:cs="Traditional Arabic"/>
          <w:sz w:val="32"/>
          <w:szCs w:val="32"/>
        </w:rPr>
        <w:t xml:space="preserve"> Banking </w:t>
      </w:r>
      <w:r w:rsidR="004B1BB8">
        <w:rPr>
          <w:rFonts w:ascii="Traditional Arabic" w:hAnsi="Traditional Arabic" w:cs="Traditional Arabic"/>
          <w:sz w:val="32"/>
          <w:szCs w:val="32"/>
        </w:rPr>
        <w:t>Securitization</w:t>
      </w:r>
      <w:r w:rsidR="004B1BB8">
        <w:rPr>
          <w:rFonts w:ascii="Traditional Arabic" w:hAnsi="Traditional Arabic" w:cs="Traditional Arabic" w:hint="cs"/>
          <w:sz w:val="32"/>
          <w:szCs w:val="32"/>
          <w:rtl/>
        </w:rPr>
        <w:t xml:space="preserve"> ،</w:t>
      </w:r>
      <w:r>
        <w:rPr>
          <w:rFonts w:ascii="Traditional Arabic" w:hAnsi="Traditional Arabic" w:cs="Traditional Arabic"/>
          <w:sz w:val="32"/>
          <w:szCs w:val="32"/>
          <w:rtl/>
        </w:rPr>
        <w:t xml:space="preserve"> </w:t>
      </w:r>
      <w:r>
        <w:rPr>
          <w:rFonts w:ascii="Traditional Arabic" w:hAnsi="Traditional Arabic" w:cs="Traditional Arabic"/>
          <w:sz w:val="32"/>
          <w:szCs w:val="32"/>
        </w:rPr>
        <w:t>Debt Securitization</w:t>
      </w:r>
      <w:r>
        <w:rPr>
          <w:rFonts w:ascii="Traditional Arabic" w:hAnsi="Traditional Arabic" w:cs="Traditional Arabic"/>
          <w:sz w:val="32"/>
          <w:szCs w:val="32"/>
          <w:rtl/>
        </w:rPr>
        <w:t xml:space="preserve"> ، </w:t>
      </w:r>
      <w:r>
        <w:rPr>
          <w:rFonts w:ascii="Traditional Arabic" w:hAnsi="Traditional Arabic" w:cs="Traditional Arabic"/>
          <w:sz w:val="32"/>
          <w:szCs w:val="32"/>
        </w:rPr>
        <w:t xml:space="preserve">Banking Risk </w:t>
      </w:r>
      <w:r w:rsidR="004B1BB8">
        <w:rPr>
          <w:rFonts w:ascii="Traditional Arabic" w:hAnsi="Traditional Arabic" w:cs="Traditional Arabic"/>
          <w:sz w:val="32"/>
          <w:szCs w:val="32"/>
        </w:rPr>
        <w:t>Management</w:t>
      </w:r>
      <w:r w:rsidR="004B1BB8">
        <w:rPr>
          <w:rFonts w:ascii="Traditional Arabic" w:hAnsi="Traditional Arabic" w:cs="Traditional Arabic" w:hint="cs"/>
          <w:sz w:val="32"/>
          <w:szCs w:val="32"/>
          <w:rtl/>
        </w:rPr>
        <w:t xml:space="preserve"> ،</w:t>
      </w:r>
      <w:r>
        <w:rPr>
          <w:rFonts w:ascii="Traditional Arabic" w:hAnsi="Traditional Arabic" w:cs="Traditional Arabic"/>
          <w:sz w:val="32"/>
          <w:szCs w:val="32"/>
          <w:rtl/>
        </w:rPr>
        <w:t xml:space="preserve"> </w:t>
      </w:r>
      <w:r>
        <w:rPr>
          <w:rFonts w:ascii="Traditional Arabic" w:hAnsi="Traditional Arabic" w:cs="Traditional Arabic"/>
          <w:sz w:val="32"/>
          <w:szCs w:val="32"/>
        </w:rPr>
        <w:t>Banks</w:t>
      </w:r>
      <w:r>
        <w:rPr>
          <w:rFonts w:ascii="Traditional Arabic" w:hAnsi="Traditional Arabic" w:cs="Traditional Arabic"/>
          <w:sz w:val="32"/>
          <w:szCs w:val="32"/>
          <w:rtl/>
        </w:rPr>
        <w:t xml:space="preserve"> ، </w:t>
      </w:r>
      <w:r>
        <w:rPr>
          <w:rFonts w:ascii="Traditional Arabic" w:hAnsi="Traditional Arabic" w:cs="Traditional Arabic"/>
          <w:sz w:val="32"/>
          <w:szCs w:val="32"/>
        </w:rPr>
        <w:t>Liquidity</w:t>
      </w:r>
    </w:p>
    <w:p w14:paraId="0E230D87" w14:textId="77777777" w:rsidR="00282CEF" w:rsidRPr="00743C5E" w:rsidRDefault="00282CEF" w:rsidP="00540437">
      <w:pPr>
        <w:spacing w:line="360" w:lineRule="auto"/>
        <w:rPr>
          <w:rFonts w:ascii="Traditional Arabic" w:hAnsi="Traditional Arabic" w:cs="Traditional Arabic"/>
          <w:b/>
          <w:bCs/>
          <w:sz w:val="28"/>
          <w:szCs w:val="28"/>
          <w:rtl/>
          <w:lang w:bidi="ar-DZ"/>
        </w:rPr>
      </w:pPr>
    </w:p>
    <w:p w14:paraId="71CA9E73" w14:textId="77777777" w:rsidR="00282CEF" w:rsidRDefault="00282CEF" w:rsidP="00540437">
      <w:pPr>
        <w:rPr>
          <w:b/>
          <w:bCs/>
          <w:noProof/>
          <w:sz w:val="96"/>
          <w:szCs w:val="96"/>
        </w:rPr>
      </w:pPr>
    </w:p>
    <w:p w14:paraId="052D9AA4" w14:textId="77777777" w:rsidR="00282CEF" w:rsidRDefault="00282CEF" w:rsidP="00540437">
      <w:pPr>
        <w:bidi/>
        <w:rPr>
          <w:b/>
          <w:bCs/>
          <w:noProof/>
          <w:sz w:val="96"/>
          <w:szCs w:val="96"/>
          <w:rtl/>
        </w:rPr>
        <w:sectPr w:rsidR="00282CEF" w:rsidSect="009F79D5">
          <w:pgSz w:w="11907" w:h="16839" w:code="9"/>
          <w:pgMar w:top="1440" w:right="1440" w:bottom="1440" w:left="1440" w:header="720" w:footer="720" w:gutter="0"/>
          <w:pgNumType w:fmt="upperRoman" w:start="1"/>
          <w:cols w:space="720"/>
          <w:docGrid w:linePitch="360"/>
        </w:sectPr>
      </w:pPr>
    </w:p>
    <w:p w14:paraId="4192389B" w14:textId="77777777" w:rsidR="00282CEF" w:rsidRDefault="00282CEF" w:rsidP="00540437">
      <w:pPr>
        <w:bidi/>
        <w:rPr>
          <w:b/>
          <w:bCs/>
          <w:noProof/>
          <w:sz w:val="96"/>
          <w:szCs w:val="96"/>
          <w:rtl/>
        </w:rPr>
      </w:pPr>
      <w:r>
        <w:rPr>
          <w:rFonts w:hint="cs"/>
          <w:b/>
          <w:bCs/>
          <w:noProof/>
          <w:sz w:val="96"/>
          <w:szCs w:val="96"/>
          <w:rtl/>
        </w:rPr>
        <w:lastRenderedPageBreak/>
        <w:t xml:space="preserve">                        </w:t>
      </w:r>
    </w:p>
    <w:p w14:paraId="21926089" w14:textId="77777777" w:rsidR="00282CEF" w:rsidRDefault="00282CEF" w:rsidP="00540437">
      <w:pPr>
        <w:bidi/>
        <w:rPr>
          <w:b/>
          <w:bCs/>
          <w:noProof/>
          <w:sz w:val="96"/>
          <w:szCs w:val="96"/>
          <w:rtl/>
        </w:rPr>
      </w:pPr>
    </w:p>
    <w:p w14:paraId="078E3387" w14:textId="77777777" w:rsidR="00282CEF" w:rsidRDefault="00282CEF" w:rsidP="00540437">
      <w:pPr>
        <w:bidi/>
        <w:rPr>
          <w:b/>
          <w:bCs/>
          <w:noProof/>
          <w:sz w:val="96"/>
          <w:szCs w:val="96"/>
          <w:rtl/>
        </w:rPr>
      </w:pPr>
    </w:p>
    <w:p w14:paraId="755B67A7" w14:textId="77777777" w:rsidR="00C853BC" w:rsidRDefault="00C853BC" w:rsidP="00540437">
      <w:pPr>
        <w:bidi/>
        <w:rPr>
          <w:b/>
          <w:bCs/>
          <w:noProof/>
          <w:sz w:val="160"/>
          <w:szCs w:val="160"/>
          <w:rtl/>
        </w:rPr>
      </w:pPr>
    </w:p>
    <w:p w14:paraId="4EA478EA" w14:textId="77777777" w:rsidR="00282CEF" w:rsidRDefault="00282CEF" w:rsidP="00540437">
      <w:pPr>
        <w:bidi/>
        <w:rPr>
          <w:b/>
          <w:bCs/>
          <w:noProof/>
          <w:sz w:val="160"/>
          <w:szCs w:val="160"/>
          <w:rtl/>
        </w:rPr>
      </w:pPr>
      <w:r>
        <w:rPr>
          <w:rFonts w:hint="cs"/>
          <w:b/>
          <w:bCs/>
          <w:noProof/>
          <w:sz w:val="160"/>
          <w:szCs w:val="160"/>
          <w:rtl/>
        </w:rPr>
        <w:t>فهرس المحتويات</w:t>
      </w:r>
    </w:p>
    <w:p w14:paraId="16BF7D9B" w14:textId="77777777" w:rsidR="00282CEF" w:rsidRDefault="00282CEF" w:rsidP="00540437">
      <w:pPr>
        <w:bidi/>
        <w:rPr>
          <w:b/>
          <w:bCs/>
          <w:noProof/>
          <w:sz w:val="160"/>
          <w:szCs w:val="160"/>
          <w:rtl/>
        </w:rPr>
        <w:sectPr w:rsidR="00282CEF" w:rsidSect="009F79D5">
          <w:footerReference w:type="default" r:id="rId11"/>
          <w:pgSz w:w="11907" w:h="16839" w:code="9"/>
          <w:pgMar w:top="1440" w:right="1440" w:bottom="1440" w:left="1440" w:header="720" w:footer="720" w:gutter="0"/>
          <w:pgNumType w:fmt="upperRoman" w:start="1"/>
          <w:cols w:space="720"/>
          <w:docGrid w:linePitch="360"/>
        </w:sectPr>
      </w:pPr>
    </w:p>
    <w:p w14:paraId="4B42598E" w14:textId="77777777" w:rsidR="00282CEF" w:rsidRPr="006571C1" w:rsidRDefault="006571C1" w:rsidP="00540437">
      <w:pPr>
        <w:bidi/>
        <w:rPr>
          <w:rFonts w:ascii="Traditional Arabic" w:hAnsi="Traditional Arabic" w:cs="Traditional Arabic"/>
          <w:b/>
          <w:bCs/>
          <w:noProof/>
          <w:sz w:val="36"/>
          <w:szCs w:val="36"/>
          <w:rtl/>
        </w:rPr>
      </w:pPr>
      <w:r>
        <w:rPr>
          <w:rFonts w:ascii="Traditional Arabic" w:hAnsi="Traditional Arabic" w:cs="Traditional Arabic"/>
          <w:b/>
          <w:bCs/>
          <w:noProof/>
          <w:sz w:val="36"/>
          <w:szCs w:val="36"/>
          <w:rtl/>
        </w:rPr>
        <w:lastRenderedPageBreak/>
        <w:t xml:space="preserve">فهرس المحتويات </w:t>
      </w:r>
    </w:p>
    <w:tbl>
      <w:tblPr>
        <w:tblStyle w:val="Grilledutableau"/>
        <w:bidiVisual/>
        <w:tblW w:w="10168" w:type="dxa"/>
        <w:tblInd w:w="-912" w:type="dxa"/>
        <w:tblLook w:val="04A0" w:firstRow="1" w:lastRow="0" w:firstColumn="1" w:lastColumn="0" w:noHBand="0" w:noVBand="1"/>
      </w:tblPr>
      <w:tblGrid>
        <w:gridCol w:w="8728"/>
        <w:gridCol w:w="1440"/>
      </w:tblGrid>
      <w:tr w:rsidR="00282CEF" w14:paraId="0FF88D08" w14:textId="77777777" w:rsidTr="005548A8">
        <w:trPr>
          <w:trHeight w:val="477"/>
        </w:trPr>
        <w:tc>
          <w:tcPr>
            <w:tcW w:w="8728" w:type="dxa"/>
            <w:shd w:val="clear" w:color="auto" w:fill="C6D9F1" w:themeFill="text2" w:themeFillTint="33"/>
          </w:tcPr>
          <w:p w14:paraId="4B7289E8" w14:textId="77777777" w:rsidR="00282CEF" w:rsidRPr="002137CF" w:rsidRDefault="00282CEF" w:rsidP="00540437">
            <w:pPr>
              <w:bidi/>
              <w:rPr>
                <w:b/>
                <w:bCs/>
                <w:noProof/>
                <w:sz w:val="36"/>
                <w:szCs w:val="36"/>
                <w:rtl/>
              </w:rPr>
            </w:pPr>
            <w:r>
              <w:rPr>
                <w:rFonts w:hint="cs"/>
                <w:b/>
                <w:bCs/>
                <w:noProof/>
                <w:sz w:val="36"/>
                <w:szCs w:val="36"/>
                <w:rtl/>
              </w:rPr>
              <w:t>العنوان</w:t>
            </w:r>
          </w:p>
        </w:tc>
        <w:tc>
          <w:tcPr>
            <w:tcW w:w="1440" w:type="dxa"/>
            <w:shd w:val="clear" w:color="auto" w:fill="C6D9F1" w:themeFill="text2" w:themeFillTint="33"/>
          </w:tcPr>
          <w:p w14:paraId="042163A6" w14:textId="77777777" w:rsidR="00282CEF" w:rsidRPr="002137CF" w:rsidRDefault="00282CEF" w:rsidP="00540437">
            <w:pPr>
              <w:bidi/>
              <w:rPr>
                <w:b/>
                <w:bCs/>
                <w:noProof/>
                <w:sz w:val="36"/>
                <w:szCs w:val="36"/>
                <w:rtl/>
              </w:rPr>
            </w:pPr>
            <w:r>
              <w:rPr>
                <w:rFonts w:hint="cs"/>
                <w:b/>
                <w:bCs/>
                <w:noProof/>
                <w:sz w:val="36"/>
                <w:szCs w:val="36"/>
                <w:rtl/>
              </w:rPr>
              <w:t xml:space="preserve">الصفحة </w:t>
            </w:r>
          </w:p>
        </w:tc>
      </w:tr>
      <w:tr w:rsidR="00282CEF" w14:paraId="783D9796" w14:textId="77777777" w:rsidTr="005548A8">
        <w:trPr>
          <w:trHeight w:val="620"/>
        </w:trPr>
        <w:tc>
          <w:tcPr>
            <w:tcW w:w="8728" w:type="dxa"/>
          </w:tcPr>
          <w:p w14:paraId="4D472873" w14:textId="60FC5DF8" w:rsidR="00282CEF" w:rsidRPr="002137CF" w:rsidRDefault="00520DEA" w:rsidP="00520DEA">
            <w:pPr>
              <w:bidi/>
              <w:rPr>
                <w:rFonts w:ascii="Traditional Arabic" w:hAnsi="Traditional Arabic" w:cs="Traditional Arabic"/>
                <w:b/>
                <w:bCs/>
                <w:sz w:val="36"/>
                <w:szCs w:val="36"/>
              </w:rPr>
            </w:pPr>
            <w:r>
              <w:rPr>
                <w:rFonts w:ascii="Traditional Arabic" w:hAnsi="Traditional Arabic" w:cs="Traditional Arabic"/>
                <w:b/>
                <w:bCs/>
                <w:sz w:val="36"/>
                <w:szCs w:val="36"/>
                <w:rtl/>
              </w:rPr>
              <w:t>الإهداء</w:t>
            </w:r>
          </w:p>
        </w:tc>
        <w:tc>
          <w:tcPr>
            <w:tcW w:w="1440" w:type="dxa"/>
          </w:tcPr>
          <w:p w14:paraId="3DE794A0" w14:textId="77777777" w:rsidR="00282CEF" w:rsidRPr="002137CF" w:rsidRDefault="00282CEF" w:rsidP="00540437">
            <w:pPr>
              <w:bidi/>
              <w:rPr>
                <w:rFonts w:ascii="Traditional Arabic" w:hAnsi="Traditional Arabic" w:cs="Traditional Arabic"/>
                <w:b/>
                <w:bCs/>
                <w:noProof/>
                <w:sz w:val="36"/>
                <w:szCs w:val="36"/>
                <w:rtl/>
              </w:rPr>
            </w:pPr>
            <w:r>
              <w:rPr>
                <w:rFonts w:ascii="Traditional Arabic" w:hAnsi="Traditional Arabic" w:cs="Traditional Arabic"/>
                <w:b/>
                <w:bCs/>
                <w:noProof/>
                <w:sz w:val="36"/>
                <w:szCs w:val="36"/>
              </w:rPr>
              <w:t>I</w:t>
            </w:r>
          </w:p>
        </w:tc>
      </w:tr>
      <w:tr w:rsidR="00520DEA" w14:paraId="12347A5C" w14:textId="77777777" w:rsidTr="005548A8">
        <w:trPr>
          <w:trHeight w:val="456"/>
        </w:trPr>
        <w:tc>
          <w:tcPr>
            <w:tcW w:w="8728" w:type="dxa"/>
          </w:tcPr>
          <w:p w14:paraId="6DED510C" w14:textId="731B96D0" w:rsidR="00520DEA" w:rsidRPr="002137CF" w:rsidRDefault="00520DEA" w:rsidP="00520DEA">
            <w:pPr>
              <w:bidi/>
              <w:rPr>
                <w:rFonts w:ascii="Traditional Arabic" w:hAnsi="Traditional Arabic" w:cs="Traditional Arabic"/>
                <w:b/>
                <w:bCs/>
                <w:sz w:val="36"/>
                <w:szCs w:val="36"/>
              </w:rPr>
            </w:pPr>
            <w:r>
              <w:rPr>
                <w:rFonts w:ascii="Traditional Arabic" w:hAnsi="Traditional Arabic" w:cs="Traditional Arabic"/>
                <w:b/>
                <w:bCs/>
                <w:sz w:val="36"/>
                <w:szCs w:val="36"/>
                <w:rtl/>
              </w:rPr>
              <w:t>الشكر</w:t>
            </w:r>
          </w:p>
        </w:tc>
        <w:tc>
          <w:tcPr>
            <w:tcW w:w="1440" w:type="dxa"/>
          </w:tcPr>
          <w:p w14:paraId="444B276E" w14:textId="77777777" w:rsidR="00520DEA" w:rsidRPr="002137CF" w:rsidRDefault="00520DEA" w:rsidP="00520DEA">
            <w:pPr>
              <w:bidi/>
              <w:rPr>
                <w:rFonts w:ascii="Traditional Arabic" w:hAnsi="Traditional Arabic" w:cs="Traditional Arabic"/>
                <w:b/>
                <w:bCs/>
                <w:noProof/>
                <w:sz w:val="36"/>
                <w:szCs w:val="36"/>
                <w:rtl/>
              </w:rPr>
            </w:pPr>
            <w:r>
              <w:rPr>
                <w:rFonts w:ascii="Traditional Arabic" w:hAnsi="Traditional Arabic" w:cs="Traditional Arabic"/>
                <w:b/>
                <w:bCs/>
                <w:noProof/>
                <w:sz w:val="36"/>
                <w:szCs w:val="36"/>
              </w:rPr>
              <w:t>III</w:t>
            </w:r>
          </w:p>
        </w:tc>
      </w:tr>
      <w:tr w:rsidR="00520DEA" w14:paraId="5F27F62B" w14:textId="77777777" w:rsidTr="005548A8">
        <w:trPr>
          <w:trHeight w:val="456"/>
        </w:trPr>
        <w:tc>
          <w:tcPr>
            <w:tcW w:w="8728" w:type="dxa"/>
          </w:tcPr>
          <w:p w14:paraId="0246D545" w14:textId="77777777" w:rsidR="00520DEA" w:rsidRPr="002137CF" w:rsidRDefault="00520DEA" w:rsidP="00520DEA">
            <w:pPr>
              <w:bidi/>
              <w:rPr>
                <w:rFonts w:ascii="Traditional Arabic" w:hAnsi="Traditional Arabic" w:cs="Traditional Arabic"/>
                <w:b/>
                <w:bCs/>
                <w:sz w:val="36"/>
                <w:szCs w:val="36"/>
                <w:rtl/>
              </w:rPr>
            </w:pPr>
            <w:r>
              <w:rPr>
                <w:rFonts w:ascii="Traditional Arabic" w:hAnsi="Traditional Arabic" w:cs="Traditional Arabic"/>
                <w:b/>
                <w:bCs/>
                <w:sz w:val="36"/>
                <w:szCs w:val="36"/>
                <w:rtl/>
              </w:rPr>
              <w:t>ملخص الدراسة</w:t>
            </w:r>
          </w:p>
        </w:tc>
        <w:tc>
          <w:tcPr>
            <w:tcW w:w="1440" w:type="dxa"/>
          </w:tcPr>
          <w:p w14:paraId="7270743B" w14:textId="77777777" w:rsidR="00520DEA" w:rsidRPr="002137CF" w:rsidRDefault="00520DEA" w:rsidP="00520DEA">
            <w:pPr>
              <w:bidi/>
              <w:rPr>
                <w:rFonts w:ascii="Traditional Arabic" w:hAnsi="Traditional Arabic" w:cs="Traditional Arabic"/>
                <w:b/>
                <w:bCs/>
                <w:noProof/>
                <w:sz w:val="36"/>
                <w:szCs w:val="36"/>
                <w:rtl/>
              </w:rPr>
            </w:pPr>
            <w:r>
              <w:rPr>
                <w:rFonts w:ascii="Traditional Arabic" w:hAnsi="Traditional Arabic" w:cs="Traditional Arabic"/>
                <w:b/>
                <w:bCs/>
                <w:noProof/>
                <w:sz w:val="36"/>
                <w:szCs w:val="36"/>
              </w:rPr>
              <w:t>III</w:t>
            </w:r>
          </w:p>
        </w:tc>
      </w:tr>
      <w:tr w:rsidR="00520DEA" w14:paraId="35DA054F" w14:textId="77777777" w:rsidTr="005548A8">
        <w:trPr>
          <w:trHeight w:val="477"/>
        </w:trPr>
        <w:tc>
          <w:tcPr>
            <w:tcW w:w="8728" w:type="dxa"/>
          </w:tcPr>
          <w:p w14:paraId="1B1BAE68" w14:textId="77777777" w:rsidR="00520DEA" w:rsidRPr="002137CF" w:rsidRDefault="00520DEA" w:rsidP="00520DEA">
            <w:pPr>
              <w:bidi/>
              <w:rPr>
                <w:rFonts w:ascii="Traditional Arabic" w:hAnsi="Traditional Arabic" w:cs="Traditional Arabic"/>
                <w:b/>
                <w:bCs/>
                <w:sz w:val="36"/>
                <w:szCs w:val="36"/>
                <w:rtl/>
              </w:rPr>
            </w:pPr>
            <w:r>
              <w:rPr>
                <w:rFonts w:ascii="Traditional Arabic" w:hAnsi="Traditional Arabic" w:cs="Traditional Arabic"/>
                <w:b/>
                <w:bCs/>
                <w:sz w:val="36"/>
                <w:szCs w:val="36"/>
                <w:rtl/>
              </w:rPr>
              <w:t>فهرس المحتويات</w:t>
            </w:r>
          </w:p>
        </w:tc>
        <w:tc>
          <w:tcPr>
            <w:tcW w:w="1440" w:type="dxa"/>
          </w:tcPr>
          <w:p w14:paraId="0FFE9D02" w14:textId="77777777" w:rsidR="00520DEA" w:rsidRPr="002137CF" w:rsidRDefault="00520DEA" w:rsidP="00520DEA">
            <w:pPr>
              <w:bidi/>
              <w:rPr>
                <w:rFonts w:ascii="Traditional Arabic" w:hAnsi="Traditional Arabic" w:cs="Traditional Arabic"/>
                <w:b/>
                <w:bCs/>
                <w:noProof/>
                <w:sz w:val="36"/>
                <w:szCs w:val="36"/>
                <w:rtl/>
              </w:rPr>
            </w:pPr>
            <w:r>
              <w:rPr>
                <w:rFonts w:ascii="Traditional Arabic" w:hAnsi="Traditional Arabic" w:cs="Traditional Arabic"/>
                <w:b/>
                <w:bCs/>
                <w:noProof/>
                <w:sz w:val="36"/>
                <w:szCs w:val="36"/>
              </w:rPr>
              <w:t>V</w:t>
            </w:r>
            <w:r>
              <w:rPr>
                <w:rFonts w:ascii="Traditional Arabic" w:hAnsi="Traditional Arabic" w:cs="Traditional Arabic" w:hint="cs"/>
                <w:b/>
                <w:bCs/>
                <w:noProof/>
                <w:sz w:val="36"/>
                <w:szCs w:val="36"/>
                <w:rtl/>
              </w:rPr>
              <w:t>-</w:t>
            </w:r>
            <w:r>
              <w:rPr>
                <w:b/>
                <w:bCs/>
              </w:rPr>
              <w:t xml:space="preserve"> </w:t>
            </w:r>
            <w:r>
              <w:rPr>
                <w:rFonts w:ascii="Traditional Arabic" w:hAnsi="Traditional Arabic" w:cs="Traditional Arabic"/>
                <w:b/>
                <w:bCs/>
                <w:noProof/>
                <w:sz w:val="36"/>
                <w:szCs w:val="36"/>
              </w:rPr>
              <w:t>VIII</w:t>
            </w:r>
          </w:p>
        </w:tc>
      </w:tr>
      <w:tr w:rsidR="00520DEA" w14:paraId="14FBBF13" w14:textId="77777777" w:rsidTr="005548A8">
        <w:trPr>
          <w:trHeight w:val="477"/>
        </w:trPr>
        <w:tc>
          <w:tcPr>
            <w:tcW w:w="8728" w:type="dxa"/>
          </w:tcPr>
          <w:p w14:paraId="080A684B" w14:textId="77777777" w:rsidR="00520DEA" w:rsidRPr="002137CF" w:rsidRDefault="00520DEA" w:rsidP="00520DEA">
            <w:pPr>
              <w:bidi/>
              <w:rPr>
                <w:rFonts w:ascii="Traditional Arabic" w:hAnsi="Traditional Arabic" w:cs="Traditional Arabic"/>
                <w:b/>
                <w:bCs/>
                <w:sz w:val="36"/>
                <w:szCs w:val="36"/>
              </w:rPr>
            </w:pPr>
            <w:r>
              <w:rPr>
                <w:rFonts w:ascii="Traditional Arabic" w:hAnsi="Traditional Arabic" w:cs="Traditional Arabic"/>
                <w:b/>
                <w:bCs/>
                <w:sz w:val="36"/>
                <w:szCs w:val="36"/>
                <w:rtl/>
              </w:rPr>
              <w:t>المقدمة</w:t>
            </w:r>
          </w:p>
        </w:tc>
        <w:tc>
          <w:tcPr>
            <w:tcW w:w="1440" w:type="dxa"/>
          </w:tcPr>
          <w:p w14:paraId="124FA864" w14:textId="77777777" w:rsidR="00520DEA" w:rsidRPr="002137CF" w:rsidRDefault="00520DEA" w:rsidP="00520DEA">
            <w:pPr>
              <w:bidi/>
              <w:rPr>
                <w:rFonts w:ascii="Traditional Arabic" w:hAnsi="Traditional Arabic" w:cs="Traditional Arabic"/>
                <w:b/>
                <w:bCs/>
                <w:noProof/>
                <w:sz w:val="36"/>
                <w:szCs w:val="36"/>
                <w:rtl/>
                <w:lang w:bidi="ar-DZ"/>
              </w:rPr>
            </w:pPr>
            <w:r>
              <w:rPr>
                <w:rFonts w:ascii="Traditional Arabic" w:hAnsi="Traditional Arabic" w:cs="Traditional Arabic"/>
                <w:b/>
                <w:bCs/>
                <w:noProof/>
                <w:sz w:val="36"/>
                <w:szCs w:val="36"/>
                <w:rtl/>
              </w:rPr>
              <w:t>أ-</w:t>
            </w:r>
            <w:r>
              <w:rPr>
                <w:rFonts w:ascii="Traditional Arabic" w:hAnsi="Traditional Arabic" w:cs="Traditional Arabic" w:hint="cs"/>
                <w:b/>
                <w:bCs/>
                <w:noProof/>
                <w:sz w:val="36"/>
                <w:szCs w:val="36"/>
                <w:rtl/>
                <w:lang w:bidi="ar-DZ"/>
              </w:rPr>
              <w:t>ه</w:t>
            </w:r>
          </w:p>
        </w:tc>
      </w:tr>
      <w:tr w:rsidR="00520DEA" w14:paraId="178B1303" w14:textId="77777777" w:rsidTr="005548A8">
        <w:trPr>
          <w:trHeight w:val="548"/>
        </w:trPr>
        <w:tc>
          <w:tcPr>
            <w:tcW w:w="10168" w:type="dxa"/>
            <w:gridSpan w:val="2"/>
          </w:tcPr>
          <w:p w14:paraId="18DDFEF7" w14:textId="2A6CA9D4" w:rsidR="00520DEA" w:rsidRPr="002137CF" w:rsidRDefault="00520DEA" w:rsidP="00520DEA">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rPr>
              <w:t xml:space="preserve">الفصل </w:t>
            </w:r>
            <w:proofErr w:type="gramStart"/>
            <w:r>
              <w:rPr>
                <w:rFonts w:ascii="Traditional Arabic" w:hAnsi="Traditional Arabic" w:cs="Traditional Arabic" w:hint="cs"/>
                <w:b/>
                <w:bCs/>
                <w:sz w:val="36"/>
                <w:szCs w:val="36"/>
                <w:rtl/>
              </w:rPr>
              <w:t>الاول :</w:t>
            </w:r>
            <w:proofErr w:type="gramEnd"/>
            <w:r>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lang w:bidi="ar-DZ"/>
              </w:rPr>
              <w:t>الإطار النظري للتوريق كآلية لإدارة المخاطر المصرفية</w:t>
            </w:r>
          </w:p>
        </w:tc>
      </w:tr>
      <w:tr w:rsidR="00520DEA" w14:paraId="5023C0A4" w14:textId="77777777" w:rsidTr="005548A8">
        <w:trPr>
          <w:trHeight w:val="548"/>
        </w:trPr>
        <w:tc>
          <w:tcPr>
            <w:tcW w:w="8728" w:type="dxa"/>
          </w:tcPr>
          <w:p w14:paraId="4D65264B" w14:textId="77777777" w:rsidR="00520DEA" w:rsidRPr="005E6786" w:rsidRDefault="00520DEA" w:rsidP="00520DEA">
            <w:pPr>
              <w:bidi/>
              <w:rPr>
                <w:rFonts w:ascii="Traditional Arabic" w:hAnsi="Traditional Arabic" w:cs="Traditional Arabic"/>
                <w:b/>
                <w:bCs/>
                <w:sz w:val="32"/>
                <w:szCs w:val="32"/>
                <w:rtl/>
                <w:lang w:bidi="ar-DZ"/>
              </w:rPr>
            </w:pPr>
            <w:r>
              <w:rPr>
                <w:rFonts w:ascii="Traditional Arabic" w:hAnsi="Traditional Arabic" w:cs="Traditional Arabic"/>
                <w:b/>
                <w:bCs/>
                <w:sz w:val="36"/>
                <w:szCs w:val="36"/>
                <w:rtl/>
                <w:lang w:bidi="ar-DZ"/>
              </w:rPr>
              <w:t>تمهيد</w:t>
            </w:r>
          </w:p>
        </w:tc>
        <w:tc>
          <w:tcPr>
            <w:tcW w:w="1440" w:type="dxa"/>
          </w:tcPr>
          <w:p w14:paraId="3C7ADAAC" w14:textId="77777777" w:rsidR="00520DEA" w:rsidRPr="005E6786" w:rsidRDefault="00520DEA" w:rsidP="00520DE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w:t>
            </w:r>
          </w:p>
        </w:tc>
      </w:tr>
      <w:tr w:rsidR="00520DEA" w14:paraId="17403F5F" w14:textId="77777777" w:rsidTr="005548A8">
        <w:trPr>
          <w:trHeight w:val="477"/>
        </w:trPr>
        <w:tc>
          <w:tcPr>
            <w:tcW w:w="8728" w:type="dxa"/>
          </w:tcPr>
          <w:p w14:paraId="06A22A59" w14:textId="77777777" w:rsidR="00520DEA" w:rsidRPr="0054673C" w:rsidRDefault="00520DEA" w:rsidP="00520DEA">
            <w:pPr>
              <w:bidi/>
              <w:spacing w:before="100" w:beforeAutospacing="1" w:after="100" w:afterAutospacing="1"/>
              <w:outlineLvl w:val="1"/>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المبحث الأول: الإطار المفاهيمي للتوريق المصرفي</w:t>
            </w:r>
          </w:p>
        </w:tc>
        <w:tc>
          <w:tcPr>
            <w:tcW w:w="1440" w:type="dxa"/>
          </w:tcPr>
          <w:p w14:paraId="163F58D9"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w:t>
            </w:r>
          </w:p>
        </w:tc>
      </w:tr>
      <w:tr w:rsidR="00520DEA" w14:paraId="0C33DDE7" w14:textId="77777777" w:rsidTr="005548A8">
        <w:trPr>
          <w:trHeight w:val="456"/>
        </w:trPr>
        <w:tc>
          <w:tcPr>
            <w:tcW w:w="8728" w:type="dxa"/>
          </w:tcPr>
          <w:p w14:paraId="16CBDE61" w14:textId="77777777" w:rsidR="00520DEA" w:rsidRPr="0054673C" w:rsidRDefault="00520DEA" w:rsidP="00520DEA">
            <w:pPr>
              <w:bidi/>
              <w:spacing w:before="100" w:beforeAutospacing="1" w:after="100" w:afterAutospacing="1"/>
              <w:outlineLvl w:val="2"/>
              <w:rPr>
                <w:rFonts w:ascii="Traditional Arabic" w:eastAsia="Times New Roman" w:hAnsi="Traditional Arabic" w:cs="Traditional Arabic"/>
                <w:b/>
                <w:bCs/>
                <w:sz w:val="36"/>
                <w:szCs w:val="36"/>
              </w:rPr>
            </w:pPr>
            <w:bookmarkStart w:id="0" w:name="_Hlk199725471"/>
            <w:r>
              <w:rPr>
                <w:rFonts w:ascii="Traditional Arabic" w:eastAsia="Times New Roman" w:hAnsi="Traditional Arabic" w:cs="Traditional Arabic"/>
                <w:b/>
                <w:bCs/>
                <w:sz w:val="36"/>
                <w:szCs w:val="36"/>
                <w:rtl/>
              </w:rPr>
              <w:t>المطلب الأول: ماهية التوريق</w:t>
            </w:r>
          </w:p>
        </w:tc>
        <w:tc>
          <w:tcPr>
            <w:tcW w:w="1440" w:type="dxa"/>
          </w:tcPr>
          <w:p w14:paraId="261EF1ED"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w:t>
            </w:r>
          </w:p>
        </w:tc>
      </w:tr>
      <w:tr w:rsidR="00520DEA" w14:paraId="48ADCF02" w14:textId="77777777" w:rsidTr="005548A8">
        <w:trPr>
          <w:trHeight w:val="477"/>
        </w:trPr>
        <w:tc>
          <w:tcPr>
            <w:tcW w:w="8728" w:type="dxa"/>
          </w:tcPr>
          <w:p w14:paraId="3CD4A15D" w14:textId="77777777" w:rsidR="00520DEA" w:rsidRPr="0054673C" w:rsidRDefault="00520DEA" w:rsidP="00520DEA">
            <w:pPr>
              <w:bidi/>
              <w:spacing w:before="100" w:beforeAutospacing="1" w:after="100" w:afterAutospacing="1"/>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 xml:space="preserve">الفرع </w:t>
            </w:r>
            <w:proofErr w:type="gramStart"/>
            <w:r>
              <w:rPr>
                <w:rFonts w:ascii="Traditional Arabic" w:eastAsia="Times New Roman" w:hAnsi="Traditional Arabic" w:cs="Traditional Arabic"/>
                <w:b/>
                <w:bCs/>
                <w:sz w:val="36"/>
                <w:szCs w:val="36"/>
                <w:rtl/>
              </w:rPr>
              <w:t>الاول :</w:t>
            </w:r>
            <w:proofErr w:type="gramEnd"/>
            <w:r>
              <w:rPr>
                <w:rFonts w:ascii="Traditional Arabic" w:eastAsia="Times New Roman" w:hAnsi="Traditional Arabic" w:cs="Traditional Arabic"/>
                <w:b/>
                <w:bCs/>
                <w:sz w:val="36"/>
                <w:szCs w:val="36"/>
                <w:rtl/>
              </w:rPr>
              <w:t xml:space="preserve"> تعريف التوريق </w:t>
            </w:r>
          </w:p>
        </w:tc>
        <w:tc>
          <w:tcPr>
            <w:tcW w:w="1440" w:type="dxa"/>
          </w:tcPr>
          <w:p w14:paraId="443F3A56"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w:t>
            </w:r>
          </w:p>
        </w:tc>
      </w:tr>
      <w:tr w:rsidR="00520DEA" w14:paraId="325D5ECF" w14:textId="77777777" w:rsidTr="005548A8">
        <w:trPr>
          <w:trHeight w:val="456"/>
        </w:trPr>
        <w:tc>
          <w:tcPr>
            <w:tcW w:w="8728" w:type="dxa"/>
          </w:tcPr>
          <w:p w14:paraId="4EEB4A6E" w14:textId="77777777" w:rsidR="00520DEA" w:rsidRPr="0054673C" w:rsidRDefault="00520DEA" w:rsidP="00520DEA">
            <w:pPr>
              <w:bidi/>
              <w:spacing w:before="100" w:beforeAutospacing="1" w:after="100" w:afterAutospacing="1"/>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 xml:space="preserve"> الفرع </w:t>
            </w:r>
            <w:proofErr w:type="gramStart"/>
            <w:r>
              <w:rPr>
                <w:rFonts w:ascii="Traditional Arabic" w:eastAsia="Times New Roman" w:hAnsi="Traditional Arabic" w:cs="Traditional Arabic"/>
                <w:b/>
                <w:bCs/>
                <w:sz w:val="36"/>
                <w:szCs w:val="36"/>
                <w:rtl/>
              </w:rPr>
              <w:t>الثاني :</w:t>
            </w:r>
            <w:proofErr w:type="gramEnd"/>
            <w:r>
              <w:rPr>
                <w:rFonts w:ascii="Traditional Arabic" w:eastAsia="Times New Roman" w:hAnsi="Traditional Arabic" w:cs="Traditional Arabic"/>
                <w:b/>
                <w:bCs/>
                <w:sz w:val="36"/>
                <w:szCs w:val="36"/>
                <w:rtl/>
              </w:rPr>
              <w:t xml:space="preserve"> شروط</w:t>
            </w:r>
            <w:r>
              <w:rPr>
                <w:rFonts w:ascii="Traditional Arabic" w:eastAsia="Times New Roman" w:hAnsi="Traditional Arabic" w:cs="Traditional Arabic" w:hint="cs"/>
                <w:b/>
                <w:bCs/>
                <w:sz w:val="36"/>
                <w:szCs w:val="36"/>
                <w:rtl/>
              </w:rPr>
              <w:t xml:space="preserve"> نجاح عملية التوريق </w:t>
            </w:r>
          </w:p>
        </w:tc>
        <w:tc>
          <w:tcPr>
            <w:tcW w:w="1440" w:type="dxa"/>
          </w:tcPr>
          <w:p w14:paraId="33933B79"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w:t>
            </w:r>
          </w:p>
        </w:tc>
      </w:tr>
      <w:tr w:rsidR="00520DEA" w14:paraId="53E19124" w14:textId="77777777" w:rsidTr="005548A8">
        <w:trPr>
          <w:trHeight w:val="456"/>
        </w:trPr>
        <w:tc>
          <w:tcPr>
            <w:tcW w:w="8728" w:type="dxa"/>
          </w:tcPr>
          <w:p w14:paraId="430AFA79" w14:textId="77777777" w:rsidR="00520DEA" w:rsidRPr="0054673C" w:rsidRDefault="00520DEA" w:rsidP="00520DEA">
            <w:pPr>
              <w:bidi/>
              <w:spacing w:before="100" w:beforeAutospacing="1" w:after="100" w:afterAutospacing="1"/>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 xml:space="preserve"> الفرع </w:t>
            </w:r>
            <w:proofErr w:type="gramStart"/>
            <w:r>
              <w:rPr>
                <w:rFonts w:ascii="Traditional Arabic" w:eastAsia="Times New Roman" w:hAnsi="Traditional Arabic" w:cs="Traditional Arabic"/>
                <w:b/>
                <w:bCs/>
                <w:sz w:val="36"/>
                <w:szCs w:val="36"/>
                <w:rtl/>
              </w:rPr>
              <w:t>الثالث :</w:t>
            </w:r>
            <w:proofErr w:type="gramEnd"/>
            <w:r>
              <w:rPr>
                <w:rFonts w:ascii="Traditional Arabic" w:eastAsia="Times New Roman" w:hAnsi="Traditional Arabic" w:cs="Traditional Arabic"/>
                <w:b/>
                <w:bCs/>
                <w:sz w:val="36"/>
                <w:szCs w:val="36"/>
                <w:rtl/>
              </w:rPr>
              <w:t xml:space="preserve"> أهداف</w:t>
            </w:r>
            <w:r>
              <w:rPr>
                <w:rFonts w:ascii="Traditional Arabic" w:eastAsia="Times New Roman" w:hAnsi="Traditional Arabic" w:cs="Traditional Arabic" w:hint="cs"/>
                <w:b/>
                <w:bCs/>
                <w:sz w:val="36"/>
                <w:szCs w:val="36"/>
                <w:rtl/>
              </w:rPr>
              <w:t xml:space="preserve"> التوريق </w:t>
            </w:r>
            <w:r>
              <w:rPr>
                <w:rFonts w:ascii="Traditional Arabic" w:eastAsia="Times New Roman" w:hAnsi="Traditional Arabic" w:cs="Traditional Arabic"/>
                <w:b/>
                <w:bCs/>
                <w:sz w:val="36"/>
                <w:szCs w:val="36"/>
                <w:rtl/>
              </w:rPr>
              <w:t xml:space="preserve"> </w:t>
            </w:r>
          </w:p>
        </w:tc>
        <w:tc>
          <w:tcPr>
            <w:tcW w:w="1440" w:type="dxa"/>
          </w:tcPr>
          <w:p w14:paraId="1737D48B"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5</w:t>
            </w:r>
          </w:p>
        </w:tc>
      </w:tr>
      <w:tr w:rsidR="00520DEA" w14:paraId="1CBC1D75" w14:textId="77777777" w:rsidTr="005548A8">
        <w:trPr>
          <w:trHeight w:val="477"/>
        </w:trPr>
        <w:tc>
          <w:tcPr>
            <w:tcW w:w="8728" w:type="dxa"/>
          </w:tcPr>
          <w:p w14:paraId="0F89F835" w14:textId="77777777" w:rsidR="00520DEA" w:rsidRPr="0054673C" w:rsidRDefault="00520DEA" w:rsidP="00520DEA">
            <w:pPr>
              <w:bidi/>
              <w:spacing w:before="100" w:beforeAutospacing="1" w:after="100" w:afterAutospacing="1"/>
              <w:outlineLvl w:val="2"/>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المطلب الثاني: آليات التوريق المصرفي</w:t>
            </w:r>
          </w:p>
        </w:tc>
        <w:tc>
          <w:tcPr>
            <w:tcW w:w="1440" w:type="dxa"/>
          </w:tcPr>
          <w:p w14:paraId="3B03D2D6"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7</w:t>
            </w:r>
          </w:p>
        </w:tc>
      </w:tr>
      <w:tr w:rsidR="00520DEA" w14:paraId="6F88CE4B" w14:textId="77777777" w:rsidTr="005548A8">
        <w:trPr>
          <w:trHeight w:val="456"/>
        </w:trPr>
        <w:tc>
          <w:tcPr>
            <w:tcW w:w="8728" w:type="dxa"/>
          </w:tcPr>
          <w:p w14:paraId="77C2D071" w14:textId="77777777" w:rsidR="00520DEA" w:rsidRPr="0054673C" w:rsidRDefault="00520DEA" w:rsidP="00520DEA">
            <w:pPr>
              <w:bidi/>
              <w:spacing w:before="100" w:beforeAutospacing="1" w:after="100" w:afterAutospacing="1"/>
              <w:rPr>
                <w:rFonts w:ascii="Traditional Arabic" w:eastAsia="Times New Roman" w:hAnsi="Traditional Arabic" w:cs="Traditional Arabic"/>
                <w:b/>
                <w:bCs/>
                <w:sz w:val="36"/>
                <w:szCs w:val="36"/>
              </w:rPr>
            </w:pPr>
            <w:bookmarkStart w:id="1" w:name="_Hlk199725620"/>
            <w:bookmarkEnd w:id="0"/>
            <w:r>
              <w:rPr>
                <w:rFonts w:ascii="Traditional Arabic" w:eastAsia="Times New Roman" w:hAnsi="Traditional Arabic" w:cs="Traditional Arabic"/>
                <w:b/>
                <w:bCs/>
                <w:sz w:val="36"/>
                <w:szCs w:val="36"/>
                <w:rtl/>
              </w:rPr>
              <w:t xml:space="preserve">الفرع </w:t>
            </w:r>
            <w:proofErr w:type="gramStart"/>
            <w:r>
              <w:rPr>
                <w:rFonts w:ascii="Traditional Arabic" w:eastAsia="Times New Roman" w:hAnsi="Traditional Arabic" w:cs="Traditional Arabic"/>
                <w:b/>
                <w:bCs/>
                <w:sz w:val="36"/>
                <w:szCs w:val="36"/>
                <w:rtl/>
              </w:rPr>
              <w:t>الاول :</w:t>
            </w:r>
            <w:proofErr w:type="gramEnd"/>
            <w:r>
              <w:rPr>
                <w:rFonts w:ascii="Traditional Arabic" w:eastAsia="Times New Roman" w:hAnsi="Traditional Arabic" w:cs="Traditional Arabic"/>
                <w:b/>
                <w:bCs/>
                <w:sz w:val="36"/>
                <w:szCs w:val="36"/>
                <w:rtl/>
              </w:rPr>
              <w:t xml:space="preserve"> الأطراف المتدخلة </w:t>
            </w:r>
            <w:r>
              <w:rPr>
                <w:rFonts w:ascii="Traditional Arabic" w:eastAsia="Times New Roman" w:hAnsi="Traditional Arabic" w:cs="Traditional Arabic" w:hint="cs"/>
                <w:b/>
                <w:bCs/>
                <w:sz w:val="36"/>
                <w:szCs w:val="36"/>
                <w:rtl/>
              </w:rPr>
              <w:t>في عملية التوريق</w:t>
            </w:r>
          </w:p>
        </w:tc>
        <w:tc>
          <w:tcPr>
            <w:tcW w:w="1440" w:type="dxa"/>
          </w:tcPr>
          <w:p w14:paraId="07C36F13"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7</w:t>
            </w:r>
          </w:p>
        </w:tc>
      </w:tr>
      <w:tr w:rsidR="00520DEA" w14:paraId="2B5EB215" w14:textId="77777777" w:rsidTr="005548A8">
        <w:trPr>
          <w:trHeight w:val="477"/>
        </w:trPr>
        <w:tc>
          <w:tcPr>
            <w:tcW w:w="8728" w:type="dxa"/>
          </w:tcPr>
          <w:p w14:paraId="6E5EFB65" w14:textId="77777777" w:rsidR="00520DEA" w:rsidRPr="0054673C" w:rsidRDefault="00520DEA" w:rsidP="00520DEA">
            <w:pPr>
              <w:bidi/>
              <w:spacing w:before="100" w:beforeAutospacing="1" w:after="100" w:afterAutospacing="1"/>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 xml:space="preserve">الفرع </w:t>
            </w:r>
            <w:proofErr w:type="gramStart"/>
            <w:r>
              <w:rPr>
                <w:rFonts w:ascii="Traditional Arabic" w:eastAsia="Times New Roman" w:hAnsi="Traditional Arabic" w:cs="Traditional Arabic"/>
                <w:b/>
                <w:bCs/>
                <w:sz w:val="36"/>
                <w:szCs w:val="36"/>
                <w:rtl/>
              </w:rPr>
              <w:t>الثاني :</w:t>
            </w:r>
            <w:proofErr w:type="gramEnd"/>
            <w:r>
              <w:rPr>
                <w:rFonts w:ascii="Traditional Arabic" w:eastAsia="Times New Roman" w:hAnsi="Traditional Arabic" w:cs="Traditional Arabic"/>
                <w:b/>
                <w:bCs/>
                <w:sz w:val="36"/>
                <w:szCs w:val="36"/>
                <w:rtl/>
              </w:rPr>
              <w:t xml:space="preserve"> أنواع الأصول </w:t>
            </w:r>
            <w:r>
              <w:rPr>
                <w:rFonts w:ascii="Traditional Arabic" w:eastAsia="Times New Roman" w:hAnsi="Traditional Arabic" w:cs="Traditional Arabic" w:hint="cs"/>
                <w:b/>
                <w:bCs/>
                <w:sz w:val="36"/>
                <w:szCs w:val="36"/>
                <w:rtl/>
              </w:rPr>
              <w:t>التي يمكن توريقها</w:t>
            </w:r>
          </w:p>
        </w:tc>
        <w:tc>
          <w:tcPr>
            <w:tcW w:w="1440" w:type="dxa"/>
          </w:tcPr>
          <w:p w14:paraId="4CDF3E1D" w14:textId="77777777" w:rsidR="00520DEA" w:rsidRPr="002137CF"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9</w:t>
            </w:r>
          </w:p>
        </w:tc>
      </w:tr>
      <w:tr w:rsidR="00520DEA" w14:paraId="11278485" w14:textId="77777777" w:rsidTr="005548A8">
        <w:trPr>
          <w:trHeight w:val="456"/>
        </w:trPr>
        <w:tc>
          <w:tcPr>
            <w:tcW w:w="8728" w:type="dxa"/>
          </w:tcPr>
          <w:p w14:paraId="6AE29768" w14:textId="77777777" w:rsidR="00520DEA" w:rsidRPr="0054673C" w:rsidRDefault="00520DEA" w:rsidP="00520DEA">
            <w:pPr>
              <w:bidi/>
              <w:spacing w:before="100" w:beforeAutospacing="1" w:after="100" w:afterAutospacing="1"/>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 xml:space="preserve">الفرع </w:t>
            </w:r>
            <w:proofErr w:type="gramStart"/>
            <w:r>
              <w:rPr>
                <w:rFonts w:ascii="Traditional Arabic" w:eastAsia="Times New Roman" w:hAnsi="Traditional Arabic" w:cs="Traditional Arabic"/>
                <w:b/>
                <w:bCs/>
                <w:sz w:val="36"/>
                <w:szCs w:val="36"/>
                <w:rtl/>
              </w:rPr>
              <w:t>الثالث :</w:t>
            </w:r>
            <w:proofErr w:type="gramEnd"/>
            <w:r>
              <w:rPr>
                <w:rFonts w:ascii="Traditional Arabic" w:eastAsia="Times New Roman" w:hAnsi="Traditional Arabic" w:cs="Traditional Arabic"/>
                <w:b/>
                <w:bCs/>
                <w:sz w:val="36"/>
                <w:szCs w:val="36"/>
                <w:rtl/>
              </w:rPr>
              <w:t xml:space="preserve"> خطوات </w:t>
            </w:r>
            <w:r>
              <w:rPr>
                <w:rFonts w:ascii="Traditional Arabic" w:eastAsia="Times New Roman" w:hAnsi="Traditional Arabic" w:cs="Traditional Arabic" w:hint="cs"/>
                <w:b/>
                <w:bCs/>
                <w:sz w:val="36"/>
                <w:szCs w:val="36"/>
                <w:rtl/>
              </w:rPr>
              <w:t>عملية التوريق</w:t>
            </w:r>
          </w:p>
        </w:tc>
        <w:tc>
          <w:tcPr>
            <w:tcW w:w="1440" w:type="dxa"/>
          </w:tcPr>
          <w:p w14:paraId="11D77170"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10</w:t>
            </w:r>
          </w:p>
        </w:tc>
      </w:tr>
      <w:tr w:rsidR="00520DEA" w14:paraId="483E4CD9" w14:textId="77777777" w:rsidTr="005548A8">
        <w:trPr>
          <w:trHeight w:val="477"/>
        </w:trPr>
        <w:tc>
          <w:tcPr>
            <w:tcW w:w="8728" w:type="dxa"/>
          </w:tcPr>
          <w:p w14:paraId="3413A9F3" w14:textId="77777777" w:rsidR="00520DEA" w:rsidRPr="0054673C" w:rsidRDefault="00520DEA" w:rsidP="00520DEA">
            <w:pPr>
              <w:bidi/>
              <w:spacing w:before="100" w:beforeAutospacing="1" w:after="100" w:afterAutospacing="1"/>
              <w:outlineLvl w:val="2"/>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المطلب الثالث: دور التوريق في إدارة المخاطر المصرفية</w:t>
            </w:r>
          </w:p>
        </w:tc>
        <w:tc>
          <w:tcPr>
            <w:tcW w:w="1440" w:type="dxa"/>
          </w:tcPr>
          <w:p w14:paraId="716B9BA0"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12</w:t>
            </w:r>
          </w:p>
        </w:tc>
      </w:tr>
      <w:tr w:rsidR="00520DEA" w14:paraId="4079D78D" w14:textId="77777777" w:rsidTr="005548A8">
        <w:trPr>
          <w:trHeight w:val="477"/>
        </w:trPr>
        <w:tc>
          <w:tcPr>
            <w:tcW w:w="8728" w:type="dxa"/>
          </w:tcPr>
          <w:p w14:paraId="19170743" w14:textId="77777777" w:rsidR="00520DEA" w:rsidRPr="0054673C" w:rsidRDefault="00520DEA" w:rsidP="00520DEA">
            <w:pPr>
              <w:bidi/>
              <w:spacing w:before="100" w:beforeAutospacing="1" w:after="100" w:afterAutospacing="1"/>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 xml:space="preserve">الفرع </w:t>
            </w:r>
            <w:proofErr w:type="gramStart"/>
            <w:r>
              <w:rPr>
                <w:rFonts w:ascii="Traditional Arabic" w:eastAsia="Times New Roman" w:hAnsi="Traditional Arabic" w:cs="Traditional Arabic"/>
                <w:b/>
                <w:bCs/>
                <w:sz w:val="36"/>
                <w:szCs w:val="36"/>
                <w:rtl/>
              </w:rPr>
              <w:t>الاول :</w:t>
            </w:r>
            <w:proofErr w:type="gramEnd"/>
            <w:r>
              <w:rPr>
                <w:rFonts w:ascii="Traditional Arabic" w:eastAsia="Times New Roman" w:hAnsi="Traditional Arabic" w:cs="Traditional Arabic"/>
                <w:b/>
                <w:bCs/>
                <w:sz w:val="36"/>
                <w:szCs w:val="36"/>
                <w:rtl/>
              </w:rPr>
              <w:t xml:space="preserve"> علاقة التوريق بالمخاطر </w:t>
            </w:r>
            <w:r>
              <w:rPr>
                <w:rFonts w:ascii="Traditional Arabic" w:eastAsia="Times New Roman" w:hAnsi="Traditional Arabic" w:cs="Traditional Arabic" w:hint="cs"/>
                <w:b/>
                <w:bCs/>
                <w:sz w:val="36"/>
                <w:szCs w:val="36"/>
                <w:rtl/>
              </w:rPr>
              <w:t xml:space="preserve">المصرفية </w:t>
            </w:r>
          </w:p>
        </w:tc>
        <w:tc>
          <w:tcPr>
            <w:tcW w:w="1440" w:type="dxa"/>
          </w:tcPr>
          <w:p w14:paraId="237E546E"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12</w:t>
            </w:r>
          </w:p>
        </w:tc>
      </w:tr>
      <w:tr w:rsidR="00520DEA" w14:paraId="07BC3E86" w14:textId="77777777" w:rsidTr="005548A8">
        <w:trPr>
          <w:trHeight w:val="477"/>
        </w:trPr>
        <w:tc>
          <w:tcPr>
            <w:tcW w:w="8728" w:type="dxa"/>
          </w:tcPr>
          <w:p w14:paraId="1D4F2307" w14:textId="77777777" w:rsidR="00520DEA" w:rsidRPr="0054673C" w:rsidRDefault="00520DEA" w:rsidP="00520DEA">
            <w:pPr>
              <w:bidi/>
              <w:spacing w:before="100" w:beforeAutospacing="1" w:after="100" w:afterAutospacing="1"/>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 xml:space="preserve">الفرع </w:t>
            </w:r>
            <w:proofErr w:type="gramStart"/>
            <w:r>
              <w:rPr>
                <w:rFonts w:ascii="Traditional Arabic" w:eastAsia="Times New Roman" w:hAnsi="Traditional Arabic" w:cs="Traditional Arabic"/>
                <w:b/>
                <w:bCs/>
                <w:sz w:val="36"/>
                <w:szCs w:val="36"/>
                <w:rtl/>
              </w:rPr>
              <w:t>الثاني :</w:t>
            </w:r>
            <w:proofErr w:type="gramEnd"/>
            <w:r>
              <w:rPr>
                <w:rFonts w:ascii="Traditional Arabic" w:eastAsia="Times New Roman" w:hAnsi="Traditional Arabic" w:cs="Traditional Arabic"/>
                <w:b/>
                <w:bCs/>
                <w:sz w:val="36"/>
                <w:szCs w:val="36"/>
                <w:rtl/>
              </w:rPr>
              <w:t xml:space="preserve"> دور التوريق في تخفيض مخاطر السيولة </w:t>
            </w:r>
          </w:p>
        </w:tc>
        <w:tc>
          <w:tcPr>
            <w:tcW w:w="1440" w:type="dxa"/>
          </w:tcPr>
          <w:p w14:paraId="7FFF7F1B"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14</w:t>
            </w:r>
          </w:p>
        </w:tc>
      </w:tr>
      <w:bookmarkEnd w:id="1"/>
      <w:tr w:rsidR="00520DEA" w14:paraId="6C4F2C69" w14:textId="77777777" w:rsidTr="005548A8">
        <w:trPr>
          <w:trHeight w:val="456"/>
        </w:trPr>
        <w:tc>
          <w:tcPr>
            <w:tcW w:w="8728" w:type="dxa"/>
          </w:tcPr>
          <w:p w14:paraId="5BB75D24" w14:textId="77777777" w:rsidR="00520DEA" w:rsidRPr="0054673C" w:rsidRDefault="00520DEA" w:rsidP="00520DEA">
            <w:pPr>
              <w:bidi/>
              <w:spacing w:before="100" w:beforeAutospacing="1" w:after="100" w:afterAutospacing="1"/>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 xml:space="preserve">الفرع </w:t>
            </w:r>
            <w:proofErr w:type="gramStart"/>
            <w:r>
              <w:rPr>
                <w:rFonts w:ascii="Traditional Arabic" w:eastAsia="Times New Roman" w:hAnsi="Traditional Arabic" w:cs="Traditional Arabic"/>
                <w:b/>
                <w:bCs/>
                <w:sz w:val="36"/>
                <w:szCs w:val="36"/>
                <w:rtl/>
              </w:rPr>
              <w:t>الثالث :</w:t>
            </w:r>
            <w:proofErr w:type="gramEnd"/>
            <w:r>
              <w:rPr>
                <w:rFonts w:ascii="Traditional Arabic" w:eastAsia="Times New Roman" w:hAnsi="Traditional Arabic" w:cs="Traditional Arabic"/>
                <w:b/>
                <w:bCs/>
                <w:sz w:val="36"/>
                <w:szCs w:val="36"/>
                <w:rtl/>
              </w:rPr>
              <w:t xml:space="preserve"> التوريق ومتطلبات اتفاقيات بازل </w:t>
            </w:r>
          </w:p>
        </w:tc>
        <w:tc>
          <w:tcPr>
            <w:tcW w:w="1440" w:type="dxa"/>
          </w:tcPr>
          <w:p w14:paraId="247D0C57"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15</w:t>
            </w:r>
          </w:p>
        </w:tc>
      </w:tr>
      <w:tr w:rsidR="00520DEA" w14:paraId="3A88F553" w14:textId="77777777" w:rsidTr="005548A8">
        <w:trPr>
          <w:trHeight w:val="456"/>
        </w:trPr>
        <w:tc>
          <w:tcPr>
            <w:tcW w:w="8728" w:type="dxa"/>
            <w:tcBorders>
              <w:bottom w:val="single" w:sz="4" w:space="0" w:color="auto"/>
            </w:tcBorders>
          </w:tcPr>
          <w:p w14:paraId="3467AAF0" w14:textId="77777777" w:rsidR="00520DEA" w:rsidRPr="0054673C" w:rsidRDefault="00520DEA" w:rsidP="00520DEA">
            <w:pPr>
              <w:bidi/>
              <w:spacing w:before="100" w:beforeAutospacing="1" w:after="100" w:afterAutospacing="1"/>
              <w:outlineLvl w:val="1"/>
              <w:rPr>
                <w:rFonts w:ascii="Traditional Arabic" w:eastAsia="Times New Roman" w:hAnsi="Traditional Arabic" w:cs="Traditional Arabic"/>
                <w:b/>
                <w:bCs/>
                <w:sz w:val="36"/>
                <w:szCs w:val="36"/>
              </w:rPr>
            </w:pPr>
            <w:bookmarkStart w:id="2" w:name="_Hlk199726026"/>
            <w:r>
              <w:rPr>
                <w:rFonts w:ascii="Traditional Arabic" w:eastAsia="Times New Roman" w:hAnsi="Traditional Arabic" w:cs="Traditional Arabic"/>
                <w:b/>
                <w:bCs/>
                <w:sz w:val="36"/>
                <w:szCs w:val="36"/>
                <w:rtl/>
              </w:rPr>
              <w:t>المبحث الثاني: الدراسات السابقة</w:t>
            </w:r>
          </w:p>
        </w:tc>
        <w:tc>
          <w:tcPr>
            <w:tcW w:w="1440" w:type="dxa"/>
          </w:tcPr>
          <w:p w14:paraId="08157728"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17</w:t>
            </w:r>
          </w:p>
        </w:tc>
      </w:tr>
      <w:tr w:rsidR="00520DEA" w14:paraId="52C03325" w14:textId="77777777" w:rsidTr="005548A8">
        <w:trPr>
          <w:trHeight w:val="456"/>
        </w:trPr>
        <w:tc>
          <w:tcPr>
            <w:tcW w:w="8728" w:type="dxa"/>
            <w:tcBorders>
              <w:bottom w:val="single" w:sz="4" w:space="0" w:color="auto"/>
            </w:tcBorders>
          </w:tcPr>
          <w:p w14:paraId="3338490B" w14:textId="77777777" w:rsidR="00520DEA" w:rsidRPr="0054673C" w:rsidRDefault="00520DEA" w:rsidP="00520DEA">
            <w:pPr>
              <w:tabs>
                <w:tab w:val="left" w:pos="5109"/>
              </w:tabs>
              <w:bidi/>
              <w:spacing w:before="100" w:beforeAutospacing="1" w:after="100" w:afterAutospacing="1"/>
              <w:outlineLvl w:val="2"/>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المطلب الأول: الدراسات العربية</w:t>
            </w:r>
            <w:r>
              <w:rPr>
                <w:rFonts w:ascii="Traditional Arabic" w:eastAsia="Times New Roman" w:hAnsi="Traditional Arabic" w:cs="Traditional Arabic"/>
                <w:b/>
                <w:bCs/>
                <w:sz w:val="36"/>
                <w:szCs w:val="36"/>
                <w:rtl/>
              </w:rPr>
              <w:tab/>
            </w:r>
          </w:p>
        </w:tc>
        <w:tc>
          <w:tcPr>
            <w:tcW w:w="1440" w:type="dxa"/>
          </w:tcPr>
          <w:p w14:paraId="11570750"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17</w:t>
            </w:r>
          </w:p>
        </w:tc>
      </w:tr>
      <w:tr w:rsidR="00520DEA" w14:paraId="3BCD1E96" w14:textId="77777777" w:rsidTr="005548A8">
        <w:trPr>
          <w:trHeight w:val="456"/>
        </w:trPr>
        <w:tc>
          <w:tcPr>
            <w:tcW w:w="8728" w:type="dxa"/>
            <w:tcBorders>
              <w:top w:val="single" w:sz="4" w:space="0" w:color="auto"/>
            </w:tcBorders>
          </w:tcPr>
          <w:p w14:paraId="3276FD4A" w14:textId="77777777" w:rsidR="00520DEA" w:rsidRPr="0054673C" w:rsidRDefault="00520DEA" w:rsidP="00520DEA">
            <w:pPr>
              <w:bidi/>
              <w:spacing w:before="100" w:beforeAutospacing="1" w:after="100" w:afterAutospacing="1"/>
              <w:outlineLvl w:val="2"/>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lastRenderedPageBreak/>
              <w:t>المطلب الثاني: الدراسات الأجنبية</w:t>
            </w:r>
          </w:p>
        </w:tc>
        <w:tc>
          <w:tcPr>
            <w:tcW w:w="1440" w:type="dxa"/>
          </w:tcPr>
          <w:p w14:paraId="19DFDA79"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23</w:t>
            </w:r>
          </w:p>
        </w:tc>
      </w:tr>
      <w:bookmarkEnd w:id="2"/>
      <w:tr w:rsidR="00520DEA" w14:paraId="7E96E76B" w14:textId="77777777" w:rsidTr="005548A8">
        <w:trPr>
          <w:trHeight w:val="456"/>
        </w:trPr>
        <w:tc>
          <w:tcPr>
            <w:tcW w:w="8728" w:type="dxa"/>
          </w:tcPr>
          <w:p w14:paraId="471B3709" w14:textId="77777777" w:rsidR="00520DEA" w:rsidRPr="0054673C" w:rsidRDefault="00520DEA" w:rsidP="00520DEA">
            <w:pPr>
              <w:bidi/>
              <w:spacing w:before="100" w:beforeAutospacing="1" w:after="100" w:afterAutospacing="1"/>
              <w:outlineLvl w:val="2"/>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المطلب الثالث: المقارنة بين الدراسات السابقة والدراسة الحالية</w:t>
            </w:r>
          </w:p>
        </w:tc>
        <w:tc>
          <w:tcPr>
            <w:tcW w:w="1440" w:type="dxa"/>
          </w:tcPr>
          <w:p w14:paraId="7A1B263D"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28</w:t>
            </w:r>
          </w:p>
        </w:tc>
      </w:tr>
      <w:tr w:rsidR="00520DEA" w14:paraId="67E32BA6" w14:textId="77777777" w:rsidTr="005548A8">
        <w:trPr>
          <w:trHeight w:val="456"/>
        </w:trPr>
        <w:tc>
          <w:tcPr>
            <w:tcW w:w="8728" w:type="dxa"/>
          </w:tcPr>
          <w:p w14:paraId="7E38FE69" w14:textId="77777777" w:rsidR="00520DEA" w:rsidRPr="002137CF" w:rsidRDefault="00520DEA" w:rsidP="00520DEA">
            <w:pPr>
              <w:bidi/>
              <w:ind w:left="720" w:hanging="720"/>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خلاصة الفصل الاول </w:t>
            </w:r>
          </w:p>
        </w:tc>
        <w:tc>
          <w:tcPr>
            <w:tcW w:w="1440" w:type="dxa"/>
          </w:tcPr>
          <w:p w14:paraId="6B84FCCD" w14:textId="77777777" w:rsidR="00520DEA" w:rsidRPr="002137CF" w:rsidRDefault="00520DEA" w:rsidP="00520DEA">
            <w:pPr>
              <w:bidi/>
              <w:ind w:left="720" w:hanging="720"/>
              <w:rPr>
                <w:rFonts w:ascii="Traditional Arabic" w:hAnsi="Traditional Arabic" w:cs="Traditional Arabic"/>
                <w:b/>
                <w:bCs/>
                <w:sz w:val="36"/>
                <w:szCs w:val="36"/>
                <w:rtl/>
              </w:rPr>
            </w:pPr>
            <w:r>
              <w:rPr>
                <w:rFonts w:ascii="Traditional Arabic" w:hAnsi="Traditional Arabic" w:cs="Traditional Arabic" w:hint="cs"/>
                <w:b/>
                <w:bCs/>
                <w:sz w:val="36"/>
                <w:szCs w:val="36"/>
                <w:rtl/>
              </w:rPr>
              <w:t>29</w:t>
            </w:r>
          </w:p>
        </w:tc>
      </w:tr>
      <w:tr w:rsidR="00520DEA" w14:paraId="6F30EA18" w14:textId="77777777" w:rsidTr="005548A8">
        <w:trPr>
          <w:trHeight w:val="456"/>
        </w:trPr>
        <w:tc>
          <w:tcPr>
            <w:tcW w:w="10168" w:type="dxa"/>
            <w:gridSpan w:val="2"/>
          </w:tcPr>
          <w:p w14:paraId="110E5DCB" w14:textId="77777777" w:rsidR="00520DEA" w:rsidRPr="00EE4220" w:rsidRDefault="00520DEA" w:rsidP="00520DEA">
            <w:pPr>
              <w:bidi/>
              <w:rPr>
                <w:rFonts w:ascii="Traditional Arabic" w:hAnsi="Traditional Arabic" w:cs="Traditional Arabic"/>
                <w:b/>
                <w:bCs/>
                <w:sz w:val="36"/>
                <w:szCs w:val="36"/>
                <w:rtl/>
              </w:rPr>
            </w:pPr>
            <w:r>
              <w:rPr>
                <w:rFonts w:ascii="Traditional Arabic" w:hAnsi="Traditional Arabic" w:cs="Traditional Arabic"/>
                <w:b/>
                <w:bCs/>
                <w:sz w:val="36"/>
                <w:szCs w:val="36"/>
                <w:rtl/>
              </w:rPr>
              <w:t>الفصل الثاني: التوريق المصرفي في البنك الأهلي السعودي (دراسة حالة)</w:t>
            </w:r>
          </w:p>
        </w:tc>
      </w:tr>
      <w:tr w:rsidR="00520DEA" w14:paraId="1D0001A8" w14:textId="77777777" w:rsidTr="005548A8">
        <w:trPr>
          <w:trHeight w:val="456"/>
        </w:trPr>
        <w:tc>
          <w:tcPr>
            <w:tcW w:w="8728" w:type="dxa"/>
          </w:tcPr>
          <w:p w14:paraId="42918125" w14:textId="77777777" w:rsidR="00520DEA" w:rsidRPr="002137CF" w:rsidRDefault="00520DEA" w:rsidP="00520DEA">
            <w:pPr>
              <w:bidi/>
              <w:rPr>
                <w:rFonts w:ascii="Traditional Arabic" w:hAnsi="Traditional Arabic" w:cs="Traditional Arabic"/>
                <w:b/>
                <w:bCs/>
                <w:sz w:val="36"/>
                <w:szCs w:val="36"/>
                <w:rtl/>
              </w:rPr>
            </w:pPr>
            <w:r>
              <w:rPr>
                <w:rFonts w:ascii="Traditional Arabic" w:hAnsi="Traditional Arabic" w:cs="Traditional Arabic" w:hint="cs"/>
                <w:b/>
                <w:bCs/>
                <w:sz w:val="36"/>
                <w:szCs w:val="36"/>
                <w:rtl/>
              </w:rPr>
              <w:t>تمهيد</w:t>
            </w:r>
          </w:p>
        </w:tc>
        <w:tc>
          <w:tcPr>
            <w:tcW w:w="1440" w:type="dxa"/>
          </w:tcPr>
          <w:p w14:paraId="63144DF8" w14:textId="77777777" w:rsidR="00520DEA" w:rsidRPr="002137CF" w:rsidRDefault="00520DEA" w:rsidP="00520DEA">
            <w:pPr>
              <w:bidi/>
              <w:rPr>
                <w:rFonts w:ascii="Traditional Arabic" w:hAnsi="Traditional Arabic" w:cs="Traditional Arabic"/>
                <w:b/>
                <w:bCs/>
                <w:sz w:val="36"/>
                <w:szCs w:val="36"/>
                <w:rtl/>
              </w:rPr>
            </w:pPr>
            <w:r>
              <w:rPr>
                <w:rFonts w:ascii="Traditional Arabic" w:hAnsi="Traditional Arabic" w:cs="Traditional Arabic" w:hint="cs"/>
                <w:b/>
                <w:bCs/>
                <w:sz w:val="36"/>
                <w:szCs w:val="36"/>
                <w:rtl/>
              </w:rPr>
              <w:t>31</w:t>
            </w:r>
          </w:p>
        </w:tc>
      </w:tr>
      <w:tr w:rsidR="00520DEA" w14:paraId="618CA10A" w14:textId="77777777" w:rsidTr="005548A8">
        <w:trPr>
          <w:trHeight w:val="456"/>
        </w:trPr>
        <w:tc>
          <w:tcPr>
            <w:tcW w:w="8728" w:type="dxa"/>
          </w:tcPr>
          <w:p w14:paraId="244C465A" w14:textId="77777777" w:rsidR="00520DEA" w:rsidRPr="00B5230D" w:rsidRDefault="00520DEA" w:rsidP="00520DEA">
            <w:pPr>
              <w:pStyle w:val="Titre2"/>
              <w:bidi/>
              <w:outlineLvl w:val="1"/>
              <w:rPr>
                <w:rFonts w:ascii="Traditional Arabic" w:hAnsi="Traditional Arabic" w:cs="Traditional Arabic"/>
              </w:rPr>
            </w:pPr>
            <w:r>
              <w:rPr>
                <w:rFonts w:ascii="Traditional Arabic" w:hAnsi="Traditional Arabic" w:cs="Traditional Arabic"/>
                <w:rtl/>
              </w:rPr>
              <w:t>المبحث الأول: تقديم مؤسسة البنك الأهلي السعودي</w:t>
            </w:r>
          </w:p>
        </w:tc>
        <w:tc>
          <w:tcPr>
            <w:tcW w:w="1440" w:type="dxa"/>
          </w:tcPr>
          <w:p w14:paraId="1D33A6A4"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32</w:t>
            </w:r>
          </w:p>
        </w:tc>
      </w:tr>
      <w:tr w:rsidR="00520DEA" w14:paraId="249B3565" w14:textId="77777777" w:rsidTr="005548A8">
        <w:trPr>
          <w:trHeight w:val="456"/>
        </w:trPr>
        <w:tc>
          <w:tcPr>
            <w:tcW w:w="8728" w:type="dxa"/>
          </w:tcPr>
          <w:p w14:paraId="6B0AF710" w14:textId="77777777" w:rsidR="00520DEA" w:rsidRPr="00B5230D" w:rsidRDefault="00520DEA" w:rsidP="00520DEA">
            <w:pPr>
              <w:pStyle w:val="Titre3"/>
              <w:bidi/>
              <w:outlineLvl w:val="2"/>
              <w:rPr>
                <w:rFonts w:ascii="Traditional Arabic" w:hAnsi="Traditional Arabic" w:cs="Traditional Arabic"/>
                <w:sz w:val="36"/>
                <w:szCs w:val="36"/>
              </w:rPr>
            </w:pPr>
            <w:r>
              <w:rPr>
                <w:rFonts w:ascii="Traditional Arabic" w:hAnsi="Traditional Arabic" w:cs="Traditional Arabic"/>
                <w:sz w:val="36"/>
                <w:szCs w:val="36"/>
                <w:rtl/>
              </w:rPr>
              <w:t>المطلب الأول: نشأة البنك وتطوره التاريخي</w:t>
            </w:r>
          </w:p>
        </w:tc>
        <w:tc>
          <w:tcPr>
            <w:tcW w:w="1440" w:type="dxa"/>
          </w:tcPr>
          <w:p w14:paraId="1EB51960"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32</w:t>
            </w:r>
          </w:p>
        </w:tc>
      </w:tr>
      <w:tr w:rsidR="00520DEA" w14:paraId="74335F9A" w14:textId="77777777" w:rsidTr="005548A8">
        <w:trPr>
          <w:trHeight w:val="456"/>
        </w:trPr>
        <w:tc>
          <w:tcPr>
            <w:tcW w:w="8728" w:type="dxa"/>
          </w:tcPr>
          <w:p w14:paraId="715C1C09" w14:textId="77777777" w:rsidR="00520DEA" w:rsidRPr="00B5230D" w:rsidRDefault="00520DEA" w:rsidP="00520DEA">
            <w:pPr>
              <w:pStyle w:val="Titre3"/>
              <w:bidi/>
              <w:outlineLvl w:val="2"/>
              <w:rPr>
                <w:rFonts w:ascii="Traditional Arabic" w:hAnsi="Traditional Arabic" w:cs="Traditional Arabic"/>
                <w:sz w:val="36"/>
                <w:szCs w:val="36"/>
              </w:rPr>
            </w:pPr>
            <w:r>
              <w:rPr>
                <w:rFonts w:ascii="Traditional Arabic" w:hAnsi="Traditional Arabic" w:cs="Traditional Arabic"/>
                <w:sz w:val="36"/>
                <w:szCs w:val="36"/>
                <w:rtl/>
              </w:rPr>
              <w:t>المطلب الثاني: المكانة والهيكل التنظيمي للبنك</w:t>
            </w:r>
          </w:p>
        </w:tc>
        <w:tc>
          <w:tcPr>
            <w:tcW w:w="1440" w:type="dxa"/>
          </w:tcPr>
          <w:p w14:paraId="75AC75E2"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33</w:t>
            </w:r>
          </w:p>
        </w:tc>
      </w:tr>
      <w:tr w:rsidR="00520DEA" w14:paraId="6E6792C5" w14:textId="77777777" w:rsidTr="005548A8">
        <w:trPr>
          <w:trHeight w:val="456"/>
        </w:trPr>
        <w:tc>
          <w:tcPr>
            <w:tcW w:w="8728" w:type="dxa"/>
          </w:tcPr>
          <w:p w14:paraId="71E78490" w14:textId="77777777" w:rsidR="00520DEA" w:rsidRPr="00B5230D" w:rsidRDefault="00520DEA" w:rsidP="00520DEA">
            <w:pPr>
              <w:pStyle w:val="Titre3"/>
              <w:bidi/>
              <w:outlineLvl w:val="2"/>
              <w:rPr>
                <w:rFonts w:ascii="Traditional Arabic" w:hAnsi="Traditional Arabic" w:cs="Traditional Arabic"/>
                <w:sz w:val="40"/>
                <w:szCs w:val="40"/>
              </w:rPr>
            </w:pPr>
            <w:r>
              <w:rPr>
                <w:rFonts w:ascii="Traditional Arabic" w:hAnsi="Traditional Arabic" w:cs="Traditional Arabic"/>
                <w:sz w:val="40"/>
                <w:szCs w:val="40"/>
                <w:rtl/>
              </w:rPr>
              <w:t>المطلب الثالث: البيئة التشريعية المنظِّمة للتوريق في السعودية</w:t>
            </w:r>
          </w:p>
        </w:tc>
        <w:tc>
          <w:tcPr>
            <w:tcW w:w="1440" w:type="dxa"/>
          </w:tcPr>
          <w:p w14:paraId="59D57E9F"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35</w:t>
            </w:r>
          </w:p>
        </w:tc>
      </w:tr>
      <w:tr w:rsidR="00520DEA" w14:paraId="2C78E1B4" w14:textId="77777777" w:rsidTr="005548A8">
        <w:trPr>
          <w:trHeight w:val="456"/>
        </w:trPr>
        <w:tc>
          <w:tcPr>
            <w:tcW w:w="8728" w:type="dxa"/>
          </w:tcPr>
          <w:p w14:paraId="167676D2" w14:textId="77777777" w:rsidR="00520DEA" w:rsidRPr="00B5230D" w:rsidRDefault="00520DEA" w:rsidP="00520DEA">
            <w:pPr>
              <w:pStyle w:val="Titre2"/>
              <w:bidi/>
              <w:outlineLvl w:val="1"/>
              <w:rPr>
                <w:rFonts w:ascii="Traditional Arabic" w:hAnsi="Traditional Arabic" w:cs="Traditional Arabic"/>
              </w:rPr>
            </w:pPr>
            <w:r>
              <w:rPr>
                <w:rFonts w:ascii="Traditional Arabic" w:hAnsi="Traditional Arabic" w:cs="Traditional Arabic"/>
                <w:rtl/>
              </w:rPr>
              <w:t>المبحث الثاني: آلية التوريق في البنك الأهلي السعودي</w:t>
            </w:r>
          </w:p>
        </w:tc>
        <w:tc>
          <w:tcPr>
            <w:tcW w:w="1440" w:type="dxa"/>
          </w:tcPr>
          <w:p w14:paraId="59B91574"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37</w:t>
            </w:r>
          </w:p>
        </w:tc>
      </w:tr>
      <w:tr w:rsidR="00520DEA" w14:paraId="57D66147" w14:textId="77777777" w:rsidTr="005548A8">
        <w:trPr>
          <w:trHeight w:val="456"/>
        </w:trPr>
        <w:tc>
          <w:tcPr>
            <w:tcW w:w="8728" w:type="dxa"/>
          </w:tcPr>
          <w:p w14:paraId="347772B5" w14:textId="77777777" w:rsidR="00520DEA" w:rsidRPr="00B5230D" w:rsidRDefault="00520DEA" w:rsidP="00520DEA">
            <w:pPr>
              <w:pStyle w:val="Titre3"/>
              <w:bidi/>
              <w:outlineLvl w:val="2"/>
              <w:rPr>
                <w:rFonts w:ascii="Traditional Arabic" w:hAnsi="Traditional Arabic" w:cs="Traditional Arabic"/>
                <w:sz w:val="36"/>
                <w:szCs w:val="36"/>
              </w:rPr>
            </w:pPr>
            <w:r>
              <w:rPr>
                <w:rFonts w:ascii="Traditional Arabic" w:hAnsi="Traditional Arabic" w:cs="Traditional Arabic"/>
                <w:sz w:val="36"/>
                <w:szCs w:val="36"/>
                <w:rtl/>
              </w:rPr>
              <w:t>المطلب الأول: الأصول المستخدمة في عمليات التوريق</w:t>
            </w:r>
          </w:p>
        </w:tc>
        <w:tc>
          <w:tcPr>
            <w:tcW w:w="1440" w:type="dxa"/>
          </w:tcPr>
          <w:p w14:paraId="65786C0F" w14:textId="77777777" w:rsidR="00520DEA" w:rsidRPr="002137CF"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37</w:t>
            </w:r>
          </w:p>
        </w:tc>
      </w:tr>
      <w:tr w:rsidR="00520DEA" w14:paraId="53AED67D" w14:textId="77777777" w:rsidTr="005548A8">
        <w:trPr>
          <w:trHeight w:val="456"/>
        </w:trPr>
        <w:tc>
          <w:tcPr>
            <w:tcW w:w="8728" w:type="dxa"/>
          </w:tcPr>
          <w:p w14:paraId="565EB4DD" w14:textId="77777777" w:rsidR="00520DEA" w:rsidRPr="00B5230D" w:rsidRDefault="00520DEA" w:rsidP="00520DEA">
            <w:pPr>
              <w:pStyle w:val="Titre3"/>
              <w:bidi/>
              <w:outlineLvl w:val="2"/>
              <w:rPr>
                <w:rFonts w:ascii="Traditional Arabic" w:hAnsi="Traditional Arabic" w:cs="Traditional Arabic"/>
                <w:sz w:val="36"/>
                <w:szCs w:val="36"/>
              </w:rPr>
            </w:pPr>
            <w:r>
              <w:rPr>
                <w:rFonts w:ascii="Traditional Arabic" w:hAnsi="Traditional Arabic" w:cs="Traditional Arabic"/>
                <w:sz w:val="36"/>
                <w:szCs w:val="36"/>
                <w:rtl/>
              </w:rPr>
              <w:t>المطلب الثاني: مراحل العملية وأطرافها في البنك الأهلي السعودي</w:t>
            </w:r>
          </w:p>
        </w:tc>
        <w:tc>
          <w:tcPr>
            <w:tcW w:w="1440" w:type="dxa"/>
          </w:tcPr>
          <w:p w14:paraId="0A4D547C"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39</w:t>
            </w:r>
          </w:p>
        </w:tc>
      </w:tr>
      <w:tr w:rsidR="00520DEA" w14:paraId="19779556" w14:textId="77777777" w:rsidTr="005548A8">
        <w:trPr>
          <w:trHeight w:val="456"/>
        </w:trPr>
        <w:tc>
          <w:tcPr>
            <w:tcW w:w="8728" w:type="dxa"/>
          </w:tcPr>
          <w:p w14:paraId="75675126" w14:textId="77777777" w:rsidR="00520DEA" w:rsidRPr="00B5230D" w:rsidRDefault="00520DEA" w:rsidP="00520DEA">
            <w:pPr>
              <w:pStyle w:val="Titre3"/>
              <w:bidi/>
              <w:outlineLvl w:val="2"/>
              <w:rPr>
                <w:rFonts w:ascii="Traditional Arabic" w:hAnsi="Traditional Arabic" w:cs="Traditional Arabic"/>
                <w:sz w:val="36"/>
                <w:szCs w:val="36"/>
              </w:rPr>
            </w:pPr>
            <w:r>
              <w:rPr>
                <w:rFonts w:ascii="Traditional Arabic" w:hAnsi="Traditional Arabic" w:cs="Traditional Arabic"/>
                <w:sz w:val="36"/>
                <w:szCs w:val="36"/>
                <w:rtl/>
              </w:rPr>
              <w:t>المطلب الثالث: نموذج التوريق العقاري لعام 2023</w:t>
            </w:r>
          </w:p>
        </w:tc>
        <w:tc>
          <w:tcPr>
            <w:tcW w:w="1440" w:type="dxa"/>
          </w:tcPr>
          <w:p w14:paraId="17A1138C"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42</w:t>
            </w:r>
          </w:p>
        </w:tc>
      </w:tr>
      <w:tr w:rsidR="00520DEA" w14:paraId="60105647" w14:textId="77777777" w:rsidTr="005548A8">
        <w:trPr>
          <w:trHeight w:val="456"/>
        </w:trPr>
        <w:tc>
          <w:tcPr>
            <w:tcW w:w="8728" w:type="dxa"/>
          </w:tcPr>
          <w:p w14:paraId="1BA8D5EB" w14:textId="77777777" w:rsidR="00520DEA" w:rsidRPr="00B5230D" w:rsidRDefault="00520DEA" w:rsidP="00520DEA">
            <w:pPr>
              <w:pStyle w:val="Titre2"/>
              <w:bidi/>
              <w:outlineLvl w:val="1"/>
              <w:rPr>
                <w:rFonts w:ascii="Traditional Arabic" w:hAnsi="Traditional Arabic" w:cs="Traditional Arabic"/>
              </w:rPr>
            </w:pPr>
            <w:r>
              <w:rPr>
                <w:rFonts w:ascii="Traditional Arabic" w:hAnsi="Traditional Arabic" w:cs="Traditional Arabic"/>
                <w:rtl/>
              </w:rPr>
              <w:t>المبحث الثالث: استخدام التوريق في إدارة المخاطر في البنك الأهلي السعودي</w:t>
            </w:r>
          </w:p>
        </w:tc>
        <w:tc>
          <w:tcPr>
            <w:tcW w:w="1440" w:type="dxa"/>
          </w:tcPr>
          <w:p w14:paraId="37234B66"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45</w:t>
            </w:r>
          </w:p>
        </w:tc>
      </w:tr>
      <w:tr w:rsidR="00520DEA" w14:paraId="6F847DCB" w14:textId="77777777" w:rsidTr="005548A8">
        <w:trPr>
          <w:trHeight w:val="456"/>
        </w:trPr>
        <w:tc>
          <w:tcPr>
            <w:tcW w:w="8728" w:type="dxa"/>
          </w:tcPr>
          <w:p w14:paraId="6DCAD3E8" w14:textId="77777777" w:rsidR="00520DEA" w:rsidRPr="00B5230D" w:rsidRDefault="00520DEA" w:rsidP="00520DEA">
            <w:pPr>
              <w:pStyle w:val="Titre3"/>
              <w:bidi/>
              <w:outlineLvl w:val="2"/>
              <w:rPr>
                <w:rFonts w:ascii="Traditional Arabic" w:hAnsi="Traditional Arabic" w:cs="Traditional Arabic"/>
                <w:sz w:val="36"/>
                <w:szCs w:val="36"/>
              </w:rPr>
            </w:pPr>
            <w:r>
              <w:rPr>
                <w:rFonts w:ascii="Traditional Arabic" w:hAnsi="Traditional Arabic" w:cs="Traditional Arabic"/>
                <w:sz w:val="36"/>
                <w:szCs w:val="36"/>
                <w:rtl/>
              </w:rPr>
              <w:t>المطلب الأول: أثر التوريق على مخاطر الائتمان</w:t>
            </w:r>
          </w:p>
        </w:tc>
        <w:tc>
          <w:tcPr>
            <w:tcW w:w="1440" w:type="dxa"/>
          </w:tcPr>
          <w:p w14:paraId="19305DA0"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45</w:t>
            </w:r>
          </w:p>
        </w:tc>
      </w:tr>
      <w:tr w:rsidR="00520DEA" w14:paraId="35FDAFD1" w14:textId="77777777" w:rsidTr="005548A8">
        <w:trPr>
          <w:trHeight w:val="456"/>
        </w:trPr>
        <w:tc>
          <w:tcPr>
            <w:tcW w:w="8728" w:type="dxa"/>
          </w:tcPr>
          <w:p w14:paraId="48DAB734" w14:textId="77777777" w:rsidR="00520DEA" w:rsidRPr="00B5230D" w:rsidRDefault="00520DEA" w:rsidP="00520DEA">
            <w:pPr>
              <w:pStyle w:val="Titre3"/>
              <w:bidi/>
              <w:outlineLvl w:val="2"/>
              <w:rPr>
                <w:rFonts w:ascii="Traditional Arabic" w:hAnsi="Traditional Arabic" w:cs="Traditional Arabic"/>
                <w:sz w:val="36"/>
                <w:szCs w:val="36"/>
              </w:rPr>
            </w:pPr>
            <w:r>
              <w:rPr>
                <w:rFonts w:ascii="Traditional Arabic" w:hAnsi="Traditional Arabic" w:cs="Traditional Arabic"/>
                <w:sz w:val="36"/>
                <w:szCs w:val="36"/>
                <w:rtl/>
              </w:rPr>
              <w:t>المطلب الثاني: أثر التوريق على مخاطر السيولة</w:t>
            </w:r>
          </w:p>
        </w:tc>
        <w:tc>
          <w:tcPr>
            <w:tcW w:w="1440" w:type="dxa"/>
          </w:tcPr>
          <w:p w14:paraId="09B31372"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48</w:t>
            </w:r>
          </w:p>
        </w:tc>
      </w:tr>
      <w:tr w:rsidR="00520DEA" w14:paraId="3B2B7ADA" w14:textId="77777777" w:rsidTr="005548A8">
        <w:trPr>
          <w:trHeight w:val="456"/>
        </w:trPr>
        <w:tc>
          <w:tcPr>
            <w:tcW w:w="8728" w:type="dxa"/>
          </w:tcPr>
          <w:p w14:paraId="604EAFA1" w14:textId="77777777" w:rsidR="00520DEA" w:rsidRPr="00B5230D" w:rsidRDefault="00520DEA" w:rsidP="00520DEA">
            <w:pPr>
              <w:pStyle w:val="Titre3"/>
              <w:bidi/>
              <w:outlineLvl w:val="2"/>
              <w:rPr>
                <w:rFonts w:ascii="Traditional Arabic" w:hAnsi="Traditional Arabic" w:cs="Traditional Arabic"/>
                <w:sz w:val="36"/>
                <w:szCs w:val="36"/>
              </w:rPr>
            </w:pPr>
            <w:r>
              <w:rPr>
                <w:rFonts w:ascii="Traditional Arabic" w:hAnsi="Traditional Arabic" w:cs="Traditional Arabic"/>
                <w:sz w:val="36"/>
                <w:szCs w:val="36"/>
                <w:rtl/>
              </w:rPr>
              <w:t>المطلب الثالث: أثر التوريق على نسب كفاية رأس المال ومتطلبات بازل</w:t>
            </w:r>
          </w:p>
        </w:tc>
        <w:tc>
          <w:tcPr>
            <w:tcW w:w="1440" w:type="dxa"/>
          </w:tcPr>
          <w:p w14:paraId="45B49100"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51</w:t>
            </w:r>
          </w:p>
        </w:tc>
      </w:tr>
      <w:tr w:rsidR="00520DEA" w14:paraId="26E1B55C" w14:textId="77777777" w:rsidTr="005548A8">
        <w:trPr>
          <w:trHeight w:val="456"/>
        </w:trPr>
        <w:tc>
          <w:tcPr>
            <w:tcW w:w="8728" w:type="dxa"/>
          </w:tcPr>
          <w:p w14:paraId="0E14CC79" w14:textId="77777777" w:rsidR="00520DEA" w:rsidRPr="00011CB3" w:rsidRDefault="00520DEA" w:rsidP="00520DEA">
            <w:pPr>
              <w:bidi/>
              <w:rPr>
                <w:rFonts w:ascii="Traditional Arabic" w:hAnsi="Traditional Arabic" w:cs="Traditional Arabic"/>
                <w:b/>
                <w:bCs/>
                <w:sz w:val="36"/>
                <w:szCs w:val="36"/>
              </w:rPr>
            </w:pPr>
            <w:r>
              <w:rPr>
                <w:rFonts w:ascii="Traditional Arabic" w:hAnsi="Traditional Arabic" w:cs="Traditional Arabic"/>
                <w:b/>
                <w:bCs/>
                <w:sz w:val="36"/>
                <w:szCs w:val="36"/>
                <w:rtl/>
              </w:rPr>
              <w:t>الخاتمة</w:t>
            </w:r>
          </w:p>
        </w:tc>
        <w:tc>
          <w:tcPr>
            <w:tcW w:w="1440" w:type="dxa"/>
          </w:tcPr>
          <w:p w14:paraId="4EF4F82D"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57</w:t>
            </w:r>
          </w:p>
        </w:tc>
      </w:tr>
      <w:tr w:rsidR="00520DEA" w14:paraId="455CCA87" w14:textId="77777777" w:rsidTr="005548A8">
        <w:trPr>
          <w:trHeight w:val="674"/>
        </w:trPr>
        <w:tc>
          <w:tcPr>
            <w:tcW w:w="8728" w:type="dxa"/>
          </w:tcPr>
          <w:p w14:paraId="3BF74A30" w14:textId="77777777" w:rsidR="00520DEA" w:rsidRPr="00011CB3" w:rsidRDefault="00520DEA" w:rsidP="00520DEA">
            <w:pPr>
              <w:bidi/>
              <w:rPr>
                <w:rFonts w:ascii="Traditional Arabic" w:hAnsi="Traditional Arabic" w:cs="Traditional Arabic"/>
                <w:b/>
                <w:bCs/>
                <w:sz w:val="36"/>
                <w:szCs w:val="36"/>
              </w:rPr>
            </w:pPr>
            <w:r>
              <w:rPr>
                <w:rFonts w:ascii="Traditional Arabic" w:hAnsi="Traditional Arabic" w:cs="Traditional Arabic"/>
                <w:b/>
                <w:bCs/>
                <w:sz w:val="36"/>
                <w:szCs w:val="36"/>
                <w:rtl/>
              </w:rPr>
              <w:t>قائمة</w:t>
            </w:r>
            <w:r>
              <w:rPr>
                <w:rFonts w:ascii="Traditional Arabic" w:hAnsi="Traditional Arabic" w:cs="Traditional Arabic"/>
                <w:b/>
                <w:bCs/>
                <w:sz w:val="36"/>
                <w:szCs w:val="36"/>
              </w:rPr>
              <w:t xml:space="preserve"> </w:t>
            </w:r>
            <w:r>
              <w:rPr>
                <w:rFonts w:ascii="Traditional Arabic" w:hAnsi="Traditional Arabic" w:cs="Traditional Arabic"/>
                <w:b/>
                <w:bCs/>
                <w:sz w:val="36"/>
                <w:szCs w:val="36"/>
                <w:rtl/>
              </w:rPr>
              <w:t>المراجع</w:t>
            </w:r>
          </w:p>
        </w:tc>
        <w:tc>
          <w:tcPr>
            <w:tcW w:w="1440" w:type="dxa"/>
          </w:tcPr>
          <w:p w14:paraId="18E5DD05" w14:textId="77777777" w:rsidR="00520DEA" w:rsidRPr="005E6786" w:rsidRDefault="00520DEA" w:rsidP="00520DEA">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62</w:t>
            </w:r>
          </w:p>
        </w:tc>
      </w:tr>
    </w:tbl>
    <w:p w14:paraId="13D28259" w14:textId="77777777" w:rsidR="00282CEF" w:rsidRDefault="00282CEF" w:rsidP="00540437">
      <w:pPr>
        <w:bidi/>
        <w:rPr>
          <w:b/>
          <w:bCs/>
          <w:noProof/>
          <w:sz w:val="32"/>
          <w:szCs w:val="32"/>
          <w:rtl/>
        </w:rPr>
      </w:pPr>
    </w:p>
    <w:p w14:paraId="0DDF59FD" w14:textId="77777777" w:rsidR="006D75F9" w:rsidRDefault="006D75F9" w:rsidP="00540437">
      <w:pPr>
        <w:bidi/>
        <w:rPr>
          <w:b/>
          <w:bCs/>
          <w:noProof/>
          <w:sz w:val="32"/>
          <w:szCs w:val="32"/>
          <w:rtl/>
        </w:rPr>
      </w:pPr>
    </w:p>
    <w:p w14:paraId="4C8C0797" w14:textId="77777777" w:rsidR="006571C1" w:rsidRDefault="006571C1" w:rsidP="00540437">
      <w:pPr>
        <w:bidi/>
        <w:rPr>
          <w:b/>
          <w:bCs/>
          <w:noProof/>
          <w:sz w:val="32"/>
          <w:szCs w:val="32"/>
          <w:rtl/>
        </w:rPr>
      </w:pPr>
    </w:p>
    <w:p w14:paraId="330C0D0A" w14:textId="77777777" w:rsidR="006571C1" w:rsidRDefault="006571C1" w:rsidP="00540437">
      <w:pPr>
        <w:bidi/>
        <w:rPr>
          <w:b/>
          <w:bCs/>
          <w:noProof/>
          <w:sz w:val="32"/>
          <w:szCs w:val="32"/>
          <w:rtl/>
        </w:rPr>
      </w:pPr>
    </w:p>
    <w:p w14:paraId="705D02A9" w14:textId="77777777" w:rsidR="006571C1" w:rsidRDefault="006571C1" w:rsidP="00540437">
      <w:pPr>
        <w:bidi/>
        <w:rPr>
          <w:b/>
          <w:bCs/>
          <w:noProof/>
          <w:sz w:val="32"/>
          <w:szCs w:val="32"/>
          <w:rtl/>
        </w:rPr>
      </w:pPr>
    </w:p>
    <w:p w14:paraId="3B3BF8EB" w14:textId="77777777" w:rsidR="00282CEF" w:rsidRPr="006571C1" w:rsidRDefault="007E7909" w:rsidP="00540437">
      <w:pPr>
        <w:bidi/>
        <w:rPr>
          <w:rFonts w:ascii="Traditional Arabic" w:hAnsi="Traditional Arabic" w:cs="Traditional Arabic"/>
          <w:b/>
          <w:bCs/>
          <w:noProof/>
          <w:sz w:val="36"/>
          <w:szCs w:val="36"/>
          <w:rtl/>
        </w:rPr>
      </w:pPr>
      <w:r>
        <w:rPr>
          <w:rFonts w:ascii="Traditional Arabic" w:hAnsi="Traditional Arabic" w:cs="Traditional Arabic"/>
          <w:b/>
          <w:bCs/>
          <w:noProof/>
          <w:sz w:val="36"/>
          <w:szCs w:val="36"/>
          <w:rtl/>
        </w:rPr>
        <w:lastRenderedPageBreak/>
        <w:t xml:space="preserve">فهرس الجدوال </w:t>
      </w:r>
    </w:p>
    <w:tbl>
      <w:tblPr>
        <w:tblStyle w:val="Grilledutableau"/>
        <w:bidiVisual/>
        <w:tblW w:w="0" w:type="auto"/>
        <w:tblInd w:w="-876" w:type="dxa"/>
        <w:tblLook w:val="04A0" w:firstRow="1" w:lastRow="0" w:firstColumn="1" w:lastColumn="0" w:noHBand="0" w:noVBand="1"/>
      </w:tblPr>
      <w:tblGrid>
        <w:gridCol w:w="1088"/>
        <w:gridCol w:w="7731"/>
        <w:gridCol w:w="1074"/>
      </w:tblGrid>
      <w:tr w:rsidR="007E7909" w14:paraId="5B58160B" w14:textId="77777777" w:rsidTr="0062497F">
        <w:tc>
          <w:tcPr>
            <w:tcW w:w="1088" w:type="dxa"/>
          </w:tcPr>
          <w:p w14:paraId="06C91C07" w14:textId="77777777" w:rsidR="007E7909" w:rsidRPr="006571C1" w:rsidRDefault="007E7909"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 xml:space="preserve">الرقم </w:t>
            </w:r>
          </w:p>
        </w:tc>
        <w:tc>
          <w:tcPr>
            <w:tcW w:w="7731" w:type="dxa"/>
          </w:tcPr>
          <w:p w14:paraId="6C44E50C" w14:textId="77777777" w:rsidR="007E7909" w:rsidRPr="006571C1" w:rsidRDefault="007E7909"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 xml:space="preserve">العنوان </w:t>
            </w:r>
          </w:p>
        </w:tc>
        <w:tc>
          <w:tcPr>
            <w:tcW w:w="1074" w:type="dxa"/>
          </w:tcPr>
          <w:p w14:paraId="2A13F984" w14:textId="77777777" w:rsidR="007E7909" w:rsidRPr="006571C1" w:rsidRDefault="007E7909"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 xml:space="preserve">الصفحة </w:t>
            </w:r>
          </w:p>
        </w:tc>
      </w:tr>
      <w:tr w:rsidR="00256D6C" w14:paraId="29022DBD" w14:textId="77777777" w:rsidTr="0062497F">
        <w:tc>
          <w:tcPr>
            <w:tcW w:w="1088" w:type="dxa"/>
          </w:tcPr>
          <w:p w14:paraId="5D527CB6"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(01)</w:t>
            </w:r>
          </w:p>
        </w:tc>
        <w:tc>
          <w:tcPr>
            <w:tcW w:w="7731" w:type="dxa"/>
          </w:tcPr>
          <w:p w14:paraId="40872E5B"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المحطات التاريخية الكبرى لمسيرة البنك الأهلي السعودي</w:t>
            </w:r>
          </w:p>
        </w:tc>
        <w:tc>
          <w:tcPr>
            <w:tcW w:w="1074" w:type="dxa"/>
          </w:tcPr>
          <w:p w14:paraId="1D0A238A" w14:textId="77777777" w:rsidR="00256D6C" w:rsidRPr="00AF1617"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32</w:t>
            </w:r>
          </w:p>
        </w:tc>
      </w:tr>
      <w:tr w:rsidR="00256D6C" w14:paraId="419E6844" w14:textId="77777777" w:rsidTr="0062497F">
        <w:tc>
          <w:tcPr>
            <w:tcW w:w="1088" w:type="dxa"/>
          </w:tcPr>
          <w:p w14:paraId="53A185DF"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(02)</w:t>
            </w:r>
          </w:p>
        </w:tc>
        <w:tc>
          <w:tcPr>
            <w:tcW w:w="7731" w:type="dxa"/>
          </w:tcPr>
          <w:p w14:paraId="7699B086"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المؤشرات المالية الرئيسية للبنك الأهلي السعودي (2023)</w:t>
            </w:r>
          </w:p>
        </w:tc>
        <w:tc>
          <w:tcPr>
            <w:tcW w:w="1074" w:type="dxa"/>
          </w:tcPr>
          <w:p w14:paraId="0115EFD5" w14:textId="77777777" w:rsidR="00256D6C" w:rsidRPr="00AF1617"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33</w:t>
            </w:r>
          </w:p>
        </w:tc>
      </w:tr>
      <w:tr w:rsidR="00256D6C" w14:paraId="3B0DB959" w14:textId="77777777" w:rsidTr="0062497F">
        <w:tc>
          <w:tcPr>
            <w:tcW w:w="1088" w:type="dxa"/>
          </w:tcPr>
          <w:p w14:paraId="7512C0C8"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(03)</w:t>
            </w:r>
          </w:p>
        </w:tc>
        <w:tc>
          <w:tcPr>
            <w:tcW w:w="7731" w:type="dxa"/>
          </w:tcPr>
          <w:p w14:paraId="6B7ABA48"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أهم النصوص التشريعية المنظِّمة للتوريق في المملكة العربية السعودية</w:t>
            </w:r>
          </w:p>
        </w:tc>
        <w:tc>
          <w:tcPr>
            <w:tcW w:w="1074" w:type="dxa"/>
          </w:tcPr>
          <w:p w14:paraId="5E493F49" w14:textId="77777777" w:rsidR="00256D6C" w:rsidRPr="00AF1617" w:rsidRDefault="007113A8"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36</w:t>
            </w:r>
          </w:p>
        </w:tc>
      </w:tr>
      <w:tr w:rsidR="00256D6C" w14:paraId="754575D8" w14:textId="77777777" w:rsidTr="0062497F">
        <w:tc>
          <w:tcPr>
            <w:tcW w:w="1088" w:type="dxa"/>
          </w:tcPr>
          <w:p w14:paraId="188C5F68"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(04)</w:t>
            </w:r>
          </w:p>
        </w:tc>
        <w:tc>
          <w:tcPr>
            <w:tcW w:w="7731" w:type="dxa"/>
          </w:tcPr>
          <w:p w14:paraId="5C34C49D"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تصنيف الأصول الموّرقة في البنك الأهلي السعودي (2021–2023)</w:t>
            </w:r>
          </w:p>
        </w:tc>
        <w:tc>
          <w:tcPr>
            <w:tcW w:w="1074" w:type="dxa"/>
          </w:tcPr>
          <w:p w14:paraId="6F679ED6"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37</w:t>
            </w:r>
          </w:p>
        </w:tc>
      </w:tr>
      <w:tr w:rsidR="00256D6C" w14:paraId="3088C508" w14:textId="77777777" w:rsidTr="0062497F">
        <w:tc>
          <w:tcPr>
            <w:tcW w:w="1088" w:type="dxa"/>
          </w:tcPr>
          <w:p w14:paraId="04C6D449"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(05)</w:t>
            </w:r>
          </w:p>
        </w:tc>
        <w:tc>
          <w:tcPr>
            <w:tcW w:w="7731" w:type="dxa"/>
          </w:tcPr>
          <w:p w14:paraId="5ACAAEE3"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مراحل تنفيذ عملية التوريق في البنك الأهلي السعودي</w:t>
            </w:r>
          </w:p>
        </w:tc>
        <w:tc>
          <w:tcPr>
            <w:tcW w:w="1074" w:type="dxa"/>
          </w:tcPr>
          <w:p w14:paraId="2CA42769"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41</w:t>
            </w:r>
          </w:p>
        </w:tc>
      </w:tr>
      <w:tr w:rsidR="00256D6C" w14:paraId="690CAE5B" w14:textId="77777777" w:rsidTr="0062497F">
        <w:tc>
          <w:tcPr>
            <w:tcW w:w="1088" w:type="dxa"/>
          </w:tcPr>
          <w:p w14:paraId="09FB8E3D"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(06)</w:t>
            </w:r>
          </w:p>
        </w:tc>
        <w:tc>
          <w:tcPr>
            <w:tcW w:w="7731" w:type="dxa"/>
          </w:tcPr>
          <w:p w14:paraId="128C74D5"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هيكلة الشرائح في إصدار صكوك التوريق العقاري للبنك الأهلي السعودي (2023)</w:t>
            </w:r>
          </w:p>
        </w:tc>
        <w:tc>
          <w:tcPr>
            <w:tcW w:w="1074" w:type="dxa"/>
          </w:tcPr>
          <w:p w14:paraId="316ACB79"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43</w:t>
            </w:r>
          </w:p>
        </w:tc>
      </w:tr>
      <w:tr w:rsidR="00256D6C" w14:paraId="16153BFF" w14:textId="77777777" w:rsidTr="0062497F">
        <w:tc>
          <w:tcPr>
            <w:tcW w:w="1088" w:type="dxa"/>
          </w:tcPr>
          <w:p w14:paraId="2689CB40"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(07)</w:t>
            </w:r>
          </w:p>
        </w:tc>
        <w:tc>
          <w:tcPr>
            <w:tcW w:w="7731" w:type="dxa"/>
          </w:tcPr>
          <w:p w14:paraId="0F472933"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المقارنة بين تكلفة التوريق وتكلفة الاقتراض التقليدي</w:t>
            </w:r>
          </w:p>
        </w:tc>
        <w:tc>
          <w:tcPr>
            <w:tcW w:w="1074" w:type="dxa"/>
          </w:tcPr>
          <w:p w14:paraId="38043FED"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45</w:t>
            </w:r>
          </w:p>
        </w:tc>
      </w:tr>
      <w:tr w:rsidR="00256D6C" w14:paraId="15575C49" w14:textId="77777777" w:rsidTr="0062497F">
        <w:tc>
          <w:tcPr>
            <w:tcW w:w="1088" w:type="dxa"/>
          </w:tcPr>
          <w:p w14:paraId="47AB5165"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(08)</w:t>
            </w:r>
          </w:p>
        </w:tc>
        <w:tc>
          <w:tcPr>
            <w:tcW w:w="7731" w:type="dxa"/>
          </w:tcPr>
          <w:p w14:paraId="125E6C88"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تطوّر مؤشرات مخاطر الائتمان في البنك الأهلي السعودي (2019–2023)</w:t>
            </w:r>
          </w:p>
        </w:tc>
        <w:tc>
          <w:tcPr>
            <w:tcW w:w="1074" w:type="dxa"/>
          </w:tcPr>
          <w:p w14:paraId="4B7652E8"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46</w:t>
            </w:r>
          </w:p>
        </w:tc>
      </w:tr>
      <w:tr w:rsidR="00256D6C" w14:paraId="1BAFDCB5" w14:textId="77777777" w:rsidTr="0062497F">
        <w:tc>
          <w:tcPr>
            <w:tcW w:w="1088" w:type="dxa"/>
          </w:tcPr>
          <w:p w14:paraId="537C135E"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(09)</w:t>
            </w:r>
          </w:p>
        </w:tc>
        <w:tc>
          <w:tcPr>
            <w:tcW w:w="7731" w:type="dxa"/>
          </w:tcPr>
          <w:p w14:paraId="59FFD57D"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تطوّر مؤشرات السيولة في البنك الأهلي السعودي (2019–2023)</w:t>
            </w:r>
          </w:p>
        </w:tc>
        <w:tc>
          <w:tcPr>
            <w:tcW w:w="1074" w:type="dxa"/>
          </w:tcPr>
          <w:p w14:paraId="46ADFC2B"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48</w:t>
            </w:r>
          </w:p>
        </w:tc>
      </w:tr>
      <w:tr w:rsidR="00256D6C" w14:paraId="044E93DE" w14:textId="77777777" w:rsidTr="0062497F">
        <w:tc>
          <w:tcPr>
            <w:tcW w:w="1088" w:type="dxa"/>
          </w:tcPr>
          <w:p w14:paraId="44B2D27C"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(10)</w:t>
            </w:r>
          </w:p>
        </w:tc>
        <w:tc>
          <w:tcPr>
            <w:tcW w:w="7731" w:type="dxa"/>
          </w:tcPr>
          <w:p w14:paraId="1B41CADF"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قياس فجوة آجال الاستحقاق قبل التوريق وبعده</w:t>
            </w:r>
          </w:p>
        </w:tc>
        <w:tc>
          <w:tcPr>
            <w:tcW w:w="1074" w:type="dxa"/>
          </w:tcPr>
          <w:p w14:paraId="46108F19"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51</w:t>
            </w:r>
          </w:p>
        </w:tc>
      </w:tr>
      <w:tr w:rsidR="00256D6C" w14:paraId="10D9AB7D" w14:textId="77777777" w:rsidTr="0062497F">
        <w:tc>
          <w:tcPr>
            <w:tcW w:w="1088" w:type="dxa"/>
          </w:tcPr>
          <w:p w14:paraId="558B60B2"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(11)</w:t>
            </w:r>
          </w:p>
        </w:tc>
        <w:tc>
          <w:tcPr>
            <w:tcW w:w="7731" w:type="dxa"/>
          </w:tcPr>
          <w:p w14:paraId="5F097D94"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أثر التوريق على نسبة كفاية رأس المال في البنك الأهلي السعودي</w:t>
            </w:r>
          </w:p>
        </w:tc>
        <w:tc>
          <w:tcPr>
            <w:tcW w:w="1074" w:type="dxa"/>
          </w:tcPr>
          <w:p w14:paraId="0A238CB5"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52</w:t>
            </w:r>
          </w:p>
        </w:tc>
      </w:tr>
      <w:tr w:rsidR="00256D6C" w14:paraId="39030A6B" w14:textId="77777777" w:rsidTr="0062497F">
        <w:tc>
          <w:tcPr>
            <w:tcW w:w="1088" w:type="dxa"/>
          </w:tcPr>
          <w:p w14:paraId="09948293"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(12)</w:t>
            </w:r>
          </w:p>
        </w:tc>
        <w:tc>
          <w:tcPr>
            <w:tcW w:w="7731" w:type="dxa"/>
          </w:tcPr>
          <w:p w14:paraId="216202AB" w14:textId="77777777" w:rsidR="00256D6C" w:rsidRPr="006767A8"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ملخص المكاسب الاستراتيجية للبنك الأهلي السعودي من التوريق (2019–2023)</w:t>
            </w:r>
          </w:p>
        </w:tc>
        <w:tc>
          <w:tcPr>
            <w:tcW w:w="1074" w:type="dxa"/>
          </w:tcPr>
          <w:p w14:paraId="480D159D"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55</w:t>
            </w:r>
          </w:p>
        </w:tc>
      </w:tr>
    </w:tbl>
    <w:p w14:paraId="44B3714E" w14:textId="77777777" w:rsidR="007E7909" w:rsidRPr="00FC7C14" w:rsidRDefault="007E7909" w:rsidP="00540437">
      <w:pPr>
        <w:bidi/>
        <w:rPr>
          <w:rFonts w:asciiTheme="minorBidi" w:hAnsiTheme="minorBidi"/>
          <w:noProof/>
          <w:sz w:val="32"/>
          <w:szCs w:val="32"/>
          <w:rtl/>
        </w:rPr>
      </w:pPr>
    </w:p>
    <w:p w14:paraId="330E8D49" w14:textId="77777777" w:rsidR="00282CEF" w:rsidRDefault="00282CEF" w:rsidP="00540437">
      <w:pPr>
        <w:bidi/>
        <w:rPr>
          <w:b/>
          <w:bCs/>
          <w:noProof/>
          <w:sz w:val="32"/>
          <w:szCs w:val="32"/>
          <w:rtl/>
        </w:rPr>
      </w:pPr>
    </w:p>
    <w:p w14:paraId="504EFC17" w14:textId="77777777" w:rsidR="00256D6C" w:rsidRDefault="00256D6C" w:rsidP="00540437">
      <w:pPr>
        <w:bidi/>
        <w:rPr>
          <w:b/>
          <w:bCs/>
          <w:noProof/>
          <w:sz w:val="32"/>
          <w:szCs w:val="32"/>
          <w:rtl/>
        </w:rPr>
      </w:pPr>
    </w:p>
    <w:p w14:paraId="0129DEA4" w14:textId="77777777" w:rsidR="00256D6C" w:rsidRDefault="00256D6C" w:rsidP="00540437">
      <w:pPr>
        <w:bidi/>
        <w:rPr>
          <w:b/>
          <w:bCs/>
          <w:noProof/>
          <w:sz w:val="32"/>
          <w:szCs w:val="32"/>
          <w:rtl/>
        </w:rPr>
      </w:pPr>
    </w:p>
    <w:p w14:paraId="3E4EFCB7" w14:textId="77777777" w:rsidR="00256D6C" w:rsidRDefault="00256D6C" w:rsidP="00540437">
      <w:pPr>
        <w:bidi/>
        <w:rPr>
          <w:b/>
          <w:bCs/>
          <w:noProof/>
          <w:sz w:val="32"/>
          <w:szCs w:val="32"/>
          <w:rtl/>
        </w:rPr>
      </w:pPr>
    </w:p>
    <w:p w14:paraId="7741C8BA" w14:textId="77777777" w:rsidR="00256D6C" w:rsidRDefault="00256D6C" w:rsidP="00540437">
      <w:pPr>
        <w:bidi/>
        <w:rPr>
          <w:b/>
          <w:bCs/>
          <w:noProof/>
          <w:sz w:val="32"/>
          <w:szCs w:val="32"/>
          <w:rtl/>
        </w:rPr>
      </w:pPr>
    </w:p>
    <w:p w14:paraId="31BE817B" w14:textId="77777777" w:rsidR="00256D6C" w:rsidRDefault="00256D6C" w:rsidP="00540437">
      <w:pPr>
        <w:bidi/>
        <w:rPr>
          <w:b/>
          <w:bCs/>
          <w:noProof/>
          <w:sz w:val="32"/>
          <w:szCs w:val="32"/>
          <w:rtl/>
        </w:rPr>
      </w:pPr>
    </w:p>
    <w:p w14:paraId="747A1389" w14:textId="77777777" w:rsidR="004F0F0B" w:rsidRDefault="004F0F0B" w:rsidP="00540437">
      <w:pPr>
        <w:bidi/>
        <w:rPr>
          <w:b/>
          <w:bCs/>
          <w:noProof/>
          <w:sz w:val="32"/>
          <w:szCs w:val="32"/>
          <w:rtl/>
        </w:rPr>
      </w:pPr>
    </w:p>
    <w:p w14:paraId="0A4C7665" w14:textId="77777777" w:rsidR="004F0F0B" w:rsidRDefault="004F0F0B" w:rsidP="00540437">
      <w:pPr>
        <w:bidi/>
        <w:rPr>
          <w:b/>
          <w:bCs/>
          <w:noProof/>
          <w:sz w:val="32"/>
          <w:szCs w:val="32"/>
          <w:rtl/>
        </w:rPr>
      </w:pPr>
    </w:p>
    <w:p w14:paraId="3266AB7A" w14:textId="77777777" w:rsidR="00256D6C" w:rsidRDefault="00256D6C" w:rsidP="00540437">
      <w:pPr>
        <w:bidi/>
        <w:rPr>
          <w:b/>
          <w:bCs/>
          <w:noProof/>
          <w:sz w:val="32"/>
          <w:szCs w:val="32"/>
          <w:rtl/>
        </w:rPr>
      </w:pPr>
    </w:p>
    <w:p w14:paraId="27CD364C" w14:textId="77777777" w:rsidR="00256D6C" w:rsidRDefault="00256D6C" w:rsidP="00540437">
      <w:pPr>
        <w:bidi/>
        <w:rPr>
          <w:b/>
          <w:bCs/>
          <w:noProof/>
          <w:sz w:val="32"/>
          <w:szCs w:val="32"/>
          <w:rtl/>
        </w:rPr>
      </w:pPr>
    </w:p>
    <w:p w14:paraId="06A8C653" w14:textId="77777777" w:rsidR="00256D6C" w:rsidRDefault="00256D6C" w:rsidP="00540437">
      <w:pPr>
        <w:bidi/>
        <w:rPr>
          <w:b/>
          <w:bCs/>
          <w:noProof/>
          <w:sz w:val="32"/>
          <w:szCs w:val="32"/>
          <w:rtl/>
        </w:rPr>
      </w:pPr>
      <w:r>
        <w:rPr>
          <w:rFonts w:hint="cs"/>
          <w:b/>
          <w:bCs/>
          <w:noProof/>
          <w:sz w:val="32"/>
          <w:szCs w:val="32"/>
          <w:rtl/>
        </w:rPr>
        <w:lastRenderedPageBreak/>
        <w:t xml:space="preserve">فهرس الاشكال </w:t>
      </w:r>
    </w:p>
    <w:tbl>
      <w:tblPr>
        <w:tblStyle w:val="Grilledutableau"/>
        <w:bidiVisual/>
        <w:tblW w:w="0" w:type="auto"/>
        <w:tblInd w:w="-787" w:type="dxa"/>
        <w:tblLook w:val="04A0" w:firstRow="1" w:lastRow="0" w:firstColumn="1" w:lastColumn="0" w:noHBand="0" w:noVBand="1"/>
      </w:tblPr>
      <w:tblGrid>
        <w:gridCol w:w="1448"/>
        <w:gridCol w:w="7282"/>
        <w:gridCol w:w="1074"/>
      </w:tblGrid>
      <w:tr w:rsidR="00256D6C" w14:paraId="232D7E88" w14:textId="77777777" w:rsidTr="0062497F">
        <w:tc>
          <w:tcPr>
            <w:tcW w:w="1448" w:type="dxa"/>
          </w:tcPr>
          <w:p w14:paraId="13CD00EC"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 xml:space="preserve">الرقم </w:t>
            </w:r>
          </w:p>
        </w:tc>
        <w:tc>
          <w:tcPr>
            <w:tcW w:w="7282" w:type="dxa"/>
          </w:tcPr>
          <w:p w14:paraId="3AA91C00"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 xml:space="preserve">العنوان </w:t>
            </w:r>
          </w:p>
        </w:tc>
        <w:tc>
          <w:tcPr>
            <w:tcW w:w="1074" w:type="dxa"/>
          </w:tcPr>
          <w:p w14:paraId="04A403AC"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 xml:space="preserve">الصفحة </w:t>
            </w:r>
          </w:p>
        </w:tc>
      </w:tr>
      <w:tr w:rsidR="00256D6C" w14:paraId="790BACC2" w14:textId="77777777" w:rsidTr="0062497F">
        <w:tc>
          <w:tcPr>
            <w:tcW w:w="1448" w:type="dxa"/>
          </w:tcPr>
          <w:p w14:paraId="235BDEDB"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(01)</w:t>
            </w:r>
          </w:p>
        </w:tc>
        <w:tc>
          <w:tcPr>
            <w:tcW w:w="7282" w:type="dxa"/>
          </w:tcPr>
          <w:p w14:paraId="16813AEC" w14:textId="77777777" w:rsidR="00256D6C" w:rsidRPr="006767A8" w:rsidRDefault="00B7712E" w:rsidP="00540437">
            <w:pPr>
              <w:bidi/>
              <w:rPr>
                <w:rFonts w:ascii="Traditional Arabic" w:hAnsi="Traditional Arabic" w:cs="Traditional Arabic"/>
                <w:sz w:val="32"/>
                <w:szCs w:val="32"/>
              </w:rPr>
            </w:pPr>
            <w:r>
              <w:rPr>
                <w:rFonts w:ascii="Traditional Arabic" w:hAnsi="Traditional Arabic" w:cs="Traditional Arabic"/>
                <w:b/>
                <w:bCs/>
                <w:sz w:val="32"/>
                <w:szCs w:val="32"/>
                <w:rtl/>
              </w:rPr>
              <w:t>الهيكل التنظيمي المبسّط للبنك الأهلي السعودي</w:t>
            </w:r>
          </w:p>
        </w:tc>
        <w:tc>
          <w:tcPr>
            <w:tcW w:w="1074" w:type="dxa"/>
          </w:tcPr>
          <w:p w14:paraId="76BE2E85" w14:textId="77777777" w:rsidR="00256D6C" w:rsidRPr="00AF1617" w:rsidRDefault="007113A8"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35</w:t>
            </w:r>
          </w:p>
        </w:tc>
      </w:tr>
      <w:tr w:rsidR="00256D6C" w14:paraId="37D666F7" w14:textId="77777777" w:rsidTr="0062497F">
        <w:tc>
          <w:tcPr>
            <w:tcW w:w="1448" w:type="dxa"/>
          </w:tcPr>
          <w:p w14:paraId="4FEF85D6"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(02)</w:t>
            </w:r>
          </w:p>
        </w:tc>
        <w:tc>
          <w:tcPr>
            <w:tcW w:w="7282" w:type="dxa"/>
          </w:tcPr>
          <w:p w14:paraId="32EE4A38" w14:textId="77777777" w:rsidR="00256D6C" w:rsidRPr="008C5C6F"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التوزيع النسبي للأصول الموّرقة في البنك الأهلي السعودي (2023)</w:t>
            </w:r>
          </w:p>
        </w:tc>
        <w:tc>
          <w:tcPr>
            <w:tcW w:w="1074" w:type="dxa"/>
          </w:tcPr>
          <w:p w14:paraId="7AA21A43"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38</w:t>
            </w:r>
          </w:p>
        </w:tc>
      </w:tr>
      <w:tr w:rsidR="00256D6C" w14:paraId="6FC5EF1C" w14:textId="77777777" w:rsidTr="0062497F">
        <w:tc>
          <w:tcPr>
            <w:tcW w:w="1448" w:type="dxa"/>
          </w:tcPr>
          <w:p w14:paraId="3738D77D"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(03)</w:t>
            </w:r>
          </w:p>
        </w:tc>
        <w:tc>
          <w:tcPr>
            <w:tcW w:w="7282" w:type="dxa"/>
          </w:tcPr>
          <w:p w14:paraId="1AAFB45F" w14:textId="77777777" w:rsidR="00256D6C" w:rsidRPr="008C5C6F"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هيكل عملية التوريق في البنك الأهلي السعودي</w:t>
            </w:r>
          </w:p>
        </w:tc>
        <w:tc>
          <w:tcPr>
            <w:tcW w:w="1074" w:type="dxa"/>
          </w:tcPr>
          <w:p w14:paraId="61A771CF"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39</w:t>
            </w:r>
          </w:p>
        </w:tc>
      </w:tr>
      <w:tr w:rsidR="00256D6C" w14:paraId="772AF0E1" w14:textId="77777777" w:rsidTr="0062497F">
        <w:tc>
          <w:tcPr>
            <w:tcW w:w="1448" w:type="dxa"/>
          </w:tcPr>
          <w:p w14:paraId="1772E801"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(04)</w:t>
            </w:r>
          </w:p>
        </w:tc>
        <w:tc>
          <w:tcPr>
            <w:tcW w:w="7282" w:type="dxa"/>
          </w:tcPr>
          <w:p w14:paraId="2E3B3852" w14:textId="77777777" w:rsidR="00256D6C" w:rsidRPr="008C5C6F"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التوزيع النسبي لشرائح التوريق – إصدار 2023</w:t>
            </w:r>
          </w:p>
        </w:tc>
        <w:tc>
          <w:tcPr>
            <w:tcW w:w="1074" w:type="dxa"/>
          </w:tcPr>
          <w:p w14:paraId="30EC5FFB"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44</w:t>
            </w:r>
          </w:p>
        </w:tc>
      </w:tr>
      <w:tr w:rsidR="00256D6C" w14:paraId="601C3494" w14:textId="77777777" w:rsidTr="0062497F">
        <w:tc>
          <w:tcPr>
            <w:tcW w:w="1448" w:type="dxa"/>
          </w:tcPr>
          <w:p w14:paraId="4567D9A1"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(05)</w:t>
            </w:r>
          </w:p>
        </w:tc>
        <w:tc>
          <w:tcPr>
            <w:tcW w:w="7282" w:type="dxa"/>
          </w:tcPr>
          <w:p w14:paraId="3C14D2ED" w14:textId="77777777" w:rsidR="00256D6C" w:rsidRPr="008C5C6F"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العلاقة العكسية بين حجم التوريق ونسبة الديون المتعثرة (2019–2023)</w:t>
            </w:r>
          </w:p>
        </w:tc>
        <w:tc>
          <w:tcPr>
            <w:tcW w:w="1074" w:type="dxa"/>
          </w:tcPr>
          <w:p w14:paraId="05EC94FC"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47</w:t>
            </w:r>
          </w:p>
        </w:tc>
      </w:tr>
      <w:tr w:rsidR="00256D6C" w14:paraId="2CD78EDD" w14:textId="77777777" w:rsidTr="0062497F">
        <w:tc>
          <w:tcPr>
            <w:tcW w:w="1448" w:type="dxa"/>
          </w:tcPr>
          <w:p w14:paraId="3519F1F9"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(06)</w:t>
            </w:r>
          </w:p>
        </w:tc>
        <w:tc>
          <w:tcPr>
            <w:tcW w:w="7282" w:type="dxa"/>
          </w:tcPr>
          <w:p w14:paraId="3F64BFFD" w14:textId="77777777" w:rsidR="00256D6C" w:rsidRPr="008C5C6F"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تطوّر نسبة تغطية السيولة (LCR) في البنك الأهلي السعودي 2019–2023</w:t>
            </w:r>
          </w:p>
        </w:tc>
        <w:tc>
          <w:tcPr>
            <w:tcW w:w="1074" w:type="dxa"/>
          </w:tcPr>
          <w:p w14:paraId="17262148" w14:textId="77777777" w:rsidR="00256D6C" w:rsidRPr="00AF1617" w:rsidRDefault="00CE4DEA"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50</w:t>
            </w:r>
          </w:p>
        </w:tc>
      </w:tr>
      <w:tr w:rsidR="00256D6C" w14:paraId="4179C096" w14:textId="77777777" w:rsidTr="0062497F">
        <w:tc>
          <w:tcPr>
            <w:tcW w:w="1448" w:type="dxa"/>
          </w:tcPr>
          <w:p w14:paraId="6490879A" w14:textId="77777777" w:rsidR="00256D6C" w:rsidRPr="006571C1" w:rsidRDefault="00256D6C" w:rsidP="00540437">
            <w:pPr>
              <w:bidi/>
              <w:rPr>
                <w:rFonts w:ascii="Traditional Arabic" w:hAnsi="Traditional Arabic" w:cs="Traditional Arabic"/>
                <w:b/>
                <w:bCs/>
                <w:noProof/>
                <w:sz w:val="32"/>
                <w:szCs w:val="32"/>
                <w:rtl/>
              </w:rPr>
            </w:pPr>
            <w:r>
              <w:rPr>
                <w:rFonts w:ascii="Traditional Arabic" w:hAnsi="Traditional Arabic" w:cs="Traditional Arabic"/>
                <w:b/>
                <w:bCs/>
                <w:noProof/>
                <w:sz w:val="32"/>
                <w:szCs w:val="32"/>
                <w:rtl/>
              </w:rPr>
              <w:t>(07)</w:t>
            </w:r>
          </w:p>
        </w:tc>
        <w:tc>
          <w:tcPr>
            <w:tcW w:w="7282" w:type="dxa"/>
          </w:tcPr>
          <w:p w14:paraId="17AF1E8D" w14:textId="77777777" w:rsidR="00256D6C" w:rsidRPr="008C5C6F" w:rsidRDefault="00256D6C" w:rsidP="00540437">
            <w:pPr>
              <w:bidi/>
              <w:rPr>
                <w:rFonts w:ascii="Traditional Arabic" w:hAnsi="Traditional Arabic" w:cs="Traditional Arabic"/>
                <w:sz w:val="32"/>
                <w:szCs w:val="32"/>
              </w:rPr>
            </w:pPr>
            <w:r>
              <w:rPr>
                <w:rFonts w:ascii="Traditional Arabic" w:hAnsi="Traditional Arabic" w:cs="Traditional Arabic"/>
                <w:b/>
                <w:bCs/>
                <w:sz w:val="32"/>
                <w:szCs w:val="32"/>
                <w:rtl/>
              </w:rPr>
              <w:t>مقارنة نسبة CAR قبل التوريق وبعده (2019–2023)</w:t>
            </w:r>
          </w:p>
        </w:tc>
        <w:tc>
          <w:tcPr>
            <w:tcW w:w="1074" w:type="dxa"/>
          </w:tcPr>
          <w:p w14:paraId="3433C783" w14:textId="77777777" w:rsidR="00256D6C" w:rsidRPr="00AF1617" w:rsidRDefault="004F0F0B" w:rsidP="00540437">
            <w:pPr>
              <w:bidi/>
              <w:rPr>
                <w:rFonts w:ascii="Traditional Arabic" w:hAnsi="Traditional Arabic" w:cs="Traditional Arabic"/>
                <w:b/>
                <w:bCs/>
                <w:noProof/>
                <w:sz w:val="32"/>
                <w:szCs w:val="32"/>
                <w:rtl/>
              </w:rPr>
            </w:pPr>
            <w:r>
              <w:rPr>
                <w:rFonts w:ascii="Traditional Arabic" w:hAnsi="Traditional Arabic" w:cs="Traditional Arabic" w:hint="cs"/>
                <w:b/>
                <w:bCs/>
                <w:noProof/>
                <w:sz w:val="32"/>
                <w:szCs w:val="32"/>
                <w:rtl/>
              </w:rPr>
              <w:t>54</w:t>
            </w:r>
          </w:p>
        </w:tc>
      </w:tr>
    </w:tbl>
    <w:p w14:paraId="76DE05B8" w14:textId="77777777" w:rsidR="00282CEF" w:rsidRDefault="00282CEF" w:rsidP="00540437">
      <w:pPr>
        <w:bidi/>
        <w:rPr>
          <w:b/>
          <w:bCs/>
          <w:noProof/>
          <w:sz w:val="32"/>
          <w:szCs w:val="32"/>
          <w:rtl/>
        </w:rPr>
      </w:pPr>
    </w:p>
    <w:p w14:paraId="3E8E4BC5" w14:textId="77777777" w:rsidR="00282CEF" w:rsidRDefault="00282CEF" w:rsidP="00540437">
      <w:pPr>
        <w:bidi/>
        <w:rPr>
          <w:b/>
          <w:bCs/>
          <w:noProof/>
          <w:sz w:val="32"/>
          <w:szCs w:val="32"/>
          <w:rtl/>
        </w:rPr>
      </w:pPr>
    </w:p>
    <w:p w14:paraId="2C772C36" w14:textId="77777777" w:rsidR="00282CEF" w:rsidRDefault="00282CEF" w:rsidP="00540437">
      <w:pPr>
        <w:bidi/>
        <w:spacing w:before="100" w:beforeAutospacing="1" w:after="100" w:afterAutospacing="1" w:line="240" w:lineRule="auto"/>
        <w:outlineLvl w:val="0"/>
        <w:rPr>
          <w:rFonts w:ascii="Traditional Arabic" w:eastAsia="Times New Roman" w:hAnsi="Traditional Arabic" w:cs="Traditional Arabic"/>
          <w:b/>
          <w:bCs/>
          <w:kern w:val="36"/>
          <w:sz w:val="36"/>
          <w:szCs w:val="36"/>
          <w:rtl/>
        </w:rPr>
      </w:pPr>
    </w:p>
    <w:p w14:paraId="72E7EA9B" w14:textId="77777777" w:rsidR="00282CEF" w:rsidRDefault="00282CEF" w:rsidP="00540437">
      <w:pPr>
        <w:bidi/>
        <w:spacing w:before="100" w:beforeAutospacing="1" w:after="100" w:afterAutospacing="1" w:line="240" w:lineRule="auto"/>
        <w:outlineLvl w:val="0"/>
        <w:rPr>
          <w:rFonts w:ascii="Traditional Arabic" w:eastAsia="Times New Roman" w:hAnsi="Traditional Arabic" w:cs="Traditional Arabic"/>
          <w:b/>
          <w:bCs/>
          <w:kern w:val="36"/>
          <w:sz w:val="36"/>
          <w:szCs w:val="36"/>
          <w:rtl/>
        </w:rPr>
      </w:pPr>
    </w:p>
    <w:p w14:paraId="46203817" w14:textId="77777777" w:rsidR="00282CEF" w:rsidRDefault="00282CEF" w:rsidP="00540437">
      <w:pPr>
        <w:bidi/>
        <w:spacing w:before="100" w:beforeAutospacing="1" w:after="100" w:afterAutospacing="1" w:line="240" w:lineRule="auto"/>
        <w:outlineLvl w:val="0"/>
        <w:rPr>
          <w:rFonts w:ascii="Traditional Arabic" w:eastAsia="Times New Roman" w:hAnsi="Traditional Arabic" w:cs="Traditional Arabic"/>
          <w:b/>
          <w:bCs/>
          <w:kern w:val="36"/>
          <w:sz w:val="36"/>
          <w:szCs w:val="36"/>
          <w:rtl/>
        </w:rPr>
      </w:pPr>
    </w:p>
    <w:p w14:paraId="5D14A6E4" w14:textId="77777777" w:rsidR="00282CEF" w:rsidRDefault="00282CEF" w:rsidP="00540437">
      <w:pPr>
        <w:bidi/>
        <w:spacing w:before="100" w:beforeAutospacing="1" w:after="100" w:afterAutospacing="1" w:line="240" w:lineRule="auto"/>
        <w:outlineLvl w:val="0"/>
        <w:rPr>
          <w:rFonts w:ascii="Traditional Arabic" w:eastAsia="Times New Roman" w:hAnsi="Traditional Arabic" w:cs="Traditional Arabic"/>
          <w:b/>
          <w:bCs/>
          <w:kern w:val="36"/>
          <w:sz w:val="36"/>
          <w:szCs w:val="36"/>
          <w:rtl/>
        </w:rPr>
      </w:pPr>
    </w:p>
    <w:p w14:paraId="7C535F2D" w14:textId="77777777" w:rsidR="00282CEF" w:rsidRDefault="00282CEF" w:rsidP="00540437">
      <w:pPr>
        <w:bidi/>
        <w:spacing w:before="100" w:beforeAutospacing="1" w:after="100" w:afterAutospacing="1" w:line="240" w:lineRule="auto"/>
        <w:outlineLvl w:val="0"/>
        <w:rPr>
          <w:rFonts w:ascii="Traditional Arabic" w:eastAsia="Times New Roman" w:hAnsi="Traditional Arabic" w:cs="Traditional Arabic"/>
          <w:b/>
          <w:bCs/>
          <w:kern w:val="36"/>
          <w:sz w:val="36"/>
          <w:szCs w:val="36"/>
          <w:rtl/>
        </w:rPr>
      </w:pPr>
    </w:p>
    <w:p w14:paraId="25774633" w14:textId="77777777" w:rsidR="00011CB3" w:rsidRDefault="00011CB3" w:rsidP="00540437">
      <w:pPr>
        <w:bidi/>
        <w:spacing w:before="100" w:beforeAutospacing="1" w:after="100" w:afterAutospacing="1" w:line="240" w:lineRule="auto"/>
        <w:outlineLvl w:val="0"/>
        <w:rPr>
          <w:rFonts w:ascii="Traditional Arabic" w:eastAsia="Times New Roman" w:hAnsi="Traditional Arabic" w:cs="Traditional Arabic"/>
          <w:b/>
          <w:bCs/>
          <w:kern w:val="36"/>
          <w:sz w:val="36"/>
          <w:szCs w:val="36"/>
          <w:rtl/>
        </w:rPr>
      </w:pPr>
    </w:p>
    <w:p w14:paraId="6BCCC7F3" w14:textId="77777777" w:rsidR="00C853BC" w:rsidRDefault="00C853BC" w:rsidP="00540437">
      <w:pPr>
        <w:bidi/>
        <w:spacing w:before="100" w:beforeAutospacing="1" w:after="100" w:afterAutospacing="1" w:line="240" w:lineRule="auto"/>
        <w:outlineLvl w:val="0"/>
        <w:rPr>
          <w:rFonts w:ascii="Traditional Arabic" w:eastAsia="Times New Roman" w:hAnsi="Traditional Arabic" w:cs="Traditional Arabic"/>
          <w:b/>
          <w:bCs/>
          <w:kern w:val="36"/>
          <w:sz w:val="36"/>
          <w:szCs w:val="36"/>
          <w:rtl/>
        </w:rPr>
        <w:sectPr w:rsidR="00C853BC" w:rsidSect="009F79D5">
          <w:headerReference w:type="default" r:id="rId12"/>
          <w:footerReference w:type="default" r:id="rId13"/>
          <w:pgSz w:w="11906" w:h="16838"/>
          <w:pgMar w:top="1417" w:right="1417" w:bottom="1417" w:left="1417" w:header="708" w:footer="708" w:gutter="0"/>
          <w:pgNumType w:fmt="upperRoman" w:start="5"/>
          <w:cols w:space="708"/>
          <w:docGrid w:linePitch="360"/>
        </w:sectPr>
      </w:pPr>
    </w:p>
    <w:p w14:paraId="2A1FA2AD" w14:textId="77777777" w:rsidR="00E60F58" w:rsidRDefault="00E60F58" w:rsidP="00540437">
      <w:pPr>
        <w:bidi/>
        <w:spacing w:after="0" w:line="240" w:lineRule="auto"/>
        <w:outlineLvl w:val="0"/>
        <w:rPr>
          <w:rFonts w:ascii="Traditional Arabic" w:cs="Traditional Arabic"/>
          <w:b/>
          <w:bCs/>
          <w:sz w:val="36"/>
          <w:szCs w:val="36"/>
        </w:rPr>
      </w:pPr>
      <w:r>
        <w:rPr>
          <w:rFonts w:ascii="Traditional Arabic" w:cs="Traditional Arabic"/>
          <w:b/>
          <w:bCs/>
          <w:sz w:val="36"/>
          <w:szCs w:val="36"/>
          <w:rtl/>
        </w:rPr>
        <w:lastRenderedPageBreak/>
        <w:t>قائمة المختصرات</w:t>
      </w:r>
    </w:p>
    <w:tbl>
      <w:tblPr>
        <w:tblStyle w:val="Grilledutableau6"/>
        <w:bidiVisual/>
        <w:tblW w:w="9350" w:type="dxa"/>
        <w:tblInd w:w="0" w:type="dxa"/>
        <w:tblLook w:val="04A0" w:firstRow="1" w:lastRow="0" w:firstColumn="1" w:lastColumn="0" w:noHBand="0" w:noVBand="1"/>
      </w:tblPr>
      <w:tblGrid>
        <w:gridCol w:w="1870"/>
        <w:gridCol w:w="4200"/>
        <w:gridCol w:w="3280"/>
      </w:tblGrid>
      <w:tr w:rsidR="00804E00" w14:paraId="3B68CB80" w14:textId="77777777" w:rsidTr="00242401">
        <w:tc>
          <w:tcPr>
            <w:tcW w:w="1870" w:type="dxa"/>
          </w:tcPr>
          <w:p w14:paraId="1AB081D2" w14:textId="77777777" w:rsidR="00804E00" w:rsidRPr="00242401" w:rsidRDefault="000063E3">
            <w:pPr>
              <w:bidi/>
              <w:jc w:val="center"/>
              <w:rPr>
                <w:sz w:val="32"/>
                <w:szCs w:val="32"/>
              </w:rPr>
            </w:pPr>
            <w:r w:rsidRPr="00242401">
              <w:rPr>
                <w:rFonts w:ascii="Traditional Arabic" w:cs="Traditional Arabic"/>
                <w:b/>
                <w:bCs/>
                <w:sz w:val="32"/>
                <w:szCs w:val="32"/>
                <w:rtl/>
              </w:rPr>
              <w:t>الاختصار</w:t>
            </w:r>
          </w:p>
        </w:tc>
        <w:tc>
          <w:tcPr>
            <w:tcW w:w="4200" w:type="dxa"/>
          </w:tcPr>
          <w:p w14:paraId="007106E5" w14:textId="77777777" w:rsidR="00804E00" w:rsidRPr="00242401" w:rsidRDefault="000063E3">
            <w:pPr>
              <w:bidi/>
              <w:jc w:val="center"/>
              <w:rPr>
                <w:sz w:val="32"/>
                <w:szCs w:val="32"/>
              </w:rPr>
            </w:pPr>
            <w:r w:rsidRPr="00242401">
              <w:rPr>
                <w:rFonts w:ascii="Traditional Arabic" w:cs="Traditional Arabic"/>
                <w:b/>
                <w:bCs/>
                <w:sz w:val="32"/>
                <w:szCs w:val="32"/>
                <w:rtl/>
              </w:rPr>
              <w:t>المصطلح باللغة العربية</w:t>
            </w:r>
          </w:p>
        </w:tc>
        <w:tc>
          <w:tcPr>
            <w:tcW w:w="3280" w:type="dxa"/>
          </w:tcPr>
          <w:p w14:paraId="0B223C1D" w14:textId="77777777" w:rsidR="00804E00" w:rsidRPr="00242401" w:rsidRDefault="000063E3">
            <w:pPr>
              <w:bidi/>
              <w:jc w:val="center"/>
              <w:rPr>
                <w:sz w:val="32"/>
                <w:szCs w:val="32"/>
              </w:rPr>
            </w:pPr>
            <w:proofErr w:type="spellStart"/>
            <w:proofErr w:type="gramStart"/>
            <w:r w:rsidRPr="00242401">
              <w:rPr>
                <w:rFonts w:ascii="Traditional Arabic" w:cs="Traditional Arabic"/>
                <w:b/>
                <w:bCs/>
                <w:sz w:val="32"/>
                <w:szCs w:val="32"/>
              </w:rPr>
              <w:t>المصطلح</w:t>
            </w:r>
            <w:proofErr w:type="spellEnd"/>
            <w:proofErr w:type="gramEnd"/>
            <w:r w:rsidRPr="00242401">
              <w:rPr>
                <w:rFonts w:ascii="Traditional Arabic" w:cs="Traditional Arabic"/>
                <w:b/>
                <w:bCs/>
                <w:sz w:val="32"/>
                <w:szCs w:val="32"/>
              </w:rPr>
              <w:t xml:space="preserve"> </w:t>
            </w:r>
            <w:proofErr w:type="spellStart"/>
            <w:r w:rsidRPr="00242401">
              <w:rPr>
                <w:rFonts w:ascii="Traditional Arabic" w:cs="Traditional Arabic"/>
                <w:b/>
                <w:bCs/>
                <w:sz w:val="32"/>
                <w:szCs w:val="32"/>
              </w:rPr>
              <w:t>بالإنجليزية</w:t>
            </w:r>
            <w:proofErr w:type="spellEnd"/>
          </w:p>
        </w:tc>
      </w:tr>
      <w:tr w:rsidR="00804E00" w14:paraId="382EAB98" w14:textId="77777777" w:rsidTr="00242401">
        <w:tc>
          <w:tcPr>
            <w:tcW w:w="1870" w:type="dxa"/>
          </w:tcPr>
          <w:p w14:paraId="3E53BDDC" w14:textId="77777777" w:rsidR="00804E00" w:rsidRPr="00242401" w:rsidRDefault="000063E3">
            <w:pPr>
              <w:bidi/>
              <w:jc w:val="center"/>
              <w:rPr>
                <w:sz w:val="32"/>
                <w:szCs w:val="32"/>
              </w:rPr>
            </w:pPr>
            <w:r w:rsidRPr="00242401">
              <w:rPr>
                <w:sz w:val="32"/>
                <w:szCs w:val="32"/>
              </w:rPr>
              <w:t>SPV</w:t>
            </w:r>
          </w:p>
        </w:tc>
        <w:tc>
          <w:tcPr>
            <w:tcW w:w="4200" w:type="dxa"/>
          </w:tcPr>
          <w:p w14:paraId="2DA786AD" w14:textId="77777777" w:rsidR="00804E00" w:rsidRPr="00242401" w:rsidRDefault="000063E3">
            <w:pPr>
              <w:bidi/>
              <w:rPr>
                <w:sz w:val="32"/>
                <w:szCs w:val="32"/>
              </w:rPr>
            </w:pPr>
            <w:r w:rsidRPr="00242401">
              <w:rPr>
                <w:rFonts w:ascii="Traditional Arabic" w:cs="Traditional Arabic"/>
                <w:sz w:val="32"/>
                <w:szCs w:val="32"/>
                <w:rtl/>
              </w:rPr>
              <w:t>شركة الغرض الخاص</w:t>
            </w:r>
          </w:p>
        </w:tc>
        <w:tc>
          <w:tcPr>
            <w:tcW w:w="3280" w:type="dxa"/>
          </w:tcPr>
          <w:p w14:paraId="0EE667F4" w14:textId="77777777" w:rsidR="00804E00" w:rsidRPr="00242401" w:rsidRDefault="000063E3">
            <w:pPr>
              <w:bidi/>
              <w:rPr>
                <w:sz w:val="32"/>
                <w:szCs w:val="32"/>
              </w:rPr>
            </w:pPr>
            <w:proofErr w:type="spellStart"/>
            <w:r w:rsidRPr="00242401">
              <w:rPr>
                <w:sz w:val="32"/>
                <w:szCs w:val="32"/>
              </w:rPr>
              <w:t>Special</w:t>
            </w:r>
            <w:proofErr w:type="spellEnd"/>
            <w:r w:rsidRPr="00242401">
              <w:rPr>
                <w:sz w:val="32"/>
                <w:szCs w:val="32"/>
              </w:rPr>
              <w:t xml:space="preserve"> </w:t>
            </w:r>
            <w:proofErr w:type="spellStart"/>
            <w:r w:rsidRPr="00242401">
              <w:rPr>
                <w:sz w:val="32"/>
                <w:szCs w:val="32"/>
              </w:rPr>
              <w:t>Purpose</w:t>
            </w:r>
            <w:proofErr w:type="spellEnd"/>
            <w:r w:rsidRPr="00242401">
              <w:rPr>
                <w:sz w:val="32"/>
                <w:szCs w:val="32"/>
              </w:rPr>
              <w:t xml:space="preserve"> </w:t>
            </w:r>
            <w:proofErr w:type="spellStart"/>
            <w:r w:rsidRPr="00242401">
              <w:rPr>
                <w:sz w:val="32"/>
                <w:szCs w:val="32"/>
              </w:rPr>
              <w:t>Vehicle</w:t>
            </w:r>
            <w:proofErr w:type="spellEnd"/>
          </w:p>
        </w:tc>
      </w:tr>
      <w:tr w:rsidR="00804E00" w14:paraId="52248D96" w14:textId="77777777" w:rsidTr="00242401">
        <w:tc>
          <w:tcPr>
            <w:tcW w:w="1870" w:type="dxa"/>
          </w:tcPr>
          <w:p w14:paraId="7179C9A5" w14:textId="77777777" w:rsidR="00804E00" w:rsidRPr="00242401" w:rsidRDefault="000063E3">
            <w:pPr>
              <w:bidi/>
              <w:jc w:val="center"/>
              <w:rPr>
                <w:sz w:val="32"/>
                <w:szCs w:val="32"/>
              </w:rPr>
            </w:pPr>
            <w:r w:rsidRPr="00242401">
              <w:rPr>
                <w:sz w:val="32"/>
                <w:szCs w:val="32"/>
              </w:rPr>
              <w:t>ABS</w:t>
            </w:r>
          </w:p>
        </w:tc>
        <w:tc>
          <w:tcPr>
            <w:tcW w:w="4200" w:type="dxa"/>
          </w:tcPr>
          <w:p w14:paraId="6839C091" w14:textId="77777777" w:rsidR="00804E00" w:rsidRPr="00242401" w:rsidRDefault="000063E3">
            <w:pPr>
              <w:bidi/>
              <w:rPr>
                <w:sz w:val="32"/>
                <w:szCs w:val="32"/>
              </w:rPr>
            </w:pPr>
            <w:r w:rsidRPr="00242401">
              <w:rPr>
                <w:rFonts w:ascii="Traditional Arabic" w:cs="Traditional Arabic"/>
                <w:sz w:val="32"/>
                <w:szCs w:val="32"/>
                <w:rtl/>
              </w:rPr>
              <w:t>الأوراق المالية المدعومة بالأصول</w:t>
            </w:r>
          </w:p>
        </w:tc>
        <w:tc>
          <w:tcPr>
            <w:tcW w:w="3280" w:type="dxa"/>
          </w:tcPr>
          <w:p w14:paraId="0A9D5DCF" w14:textId="77777777" w:rsidR="00804E00" w:rsidRPr="00242401" w:rsidRDefault="000063E3">
            <w:pPr>
              <w:bidi/>
              <w:rPr>
                <w:sz w:val="32"/>
                <w:szCs w:val="32"/>
              </w:rPr>
            </w:pPr>
            <w:r w:rsidRPr="00242401">
              <w:rPr>
                <w:sz w:val="32"/>
                <w:szCs w:val="32"/>
              </w:rPr>
              <w:t>Asset-</w:t>
            </w:r>
            <w:proofErr w:type="spellStart"/>
            <w:r w:rsidRPr="00242401">
              <w:rPr>
                <w:sz w:val="32"/>
                <w:szCs w:val="32"/>
              </w:rPr>
              <w:t>Backed</w:t>
            </w:r>
            <w:proofErr w:type="spellEnd"/>
            <w:r w:rsidRPr="00242401">
              <w:rPr>
                <w:sz w:val="32"/>
                <w:szCs w:val="32"/>
              </w:rPr>
              <w:t xml:space="preserve"> Securities</w:t>
            </w:r>
          </w:p>
        </w:tc>
      </w:tr>
      <w:tr w:rsidR="00804E00" w14:paraId="42548B9B" w14:textId="77777777" w:rsidTr="00242401">
        <w:tc>
          <w:tcPr>
            <w:tcW w:w="1870" w:type="dxa"/>
          </w:tcPr>
          <w:p w14:paraId="5F58A6F5" w14:textId="77777777" w:rsidR="00804E00" w:rsidRPr="00242401" w:rsidRDefault="000063E3">
            <w:pPr>
              <w:bidi/>
              <w:jc w:val="center"/>
              <w:rPr>
                <w:sz w:val="32"/>
                <w:szCs w:val="32"/>
              </w:rPr>
            </w:pPr>
            <w:r w:rsidRPr="00242401">
              <w:rPr>
                <w:sz w:val="32"/>
                <w:szCs w:val="32"/>
              </w:rPr>
              <w:t>MBS</w:t>
            </w:r>
          </w:p>
        </w:tc>
        <w:tc>
          <w:tcPr>
            <w:tcW w:w="4200" w:type="dxa"/>
          </w:tcPr>
          <w:p w14:paraId="6709DB52" w14:textId="77777777" w:rsidR="00804E00" w:rsidRPr="00242401" w:rsidRDefault="000063E3">
            <w:pPr>
              <w:bidi/>
              <w:rPr>
                <w:sz w:val="32"/>
                <w:szCs w:val="32"/>
              </w:rPr>
            </w:pPr>
            <w:r w:rsidRPr="00242401">
              <w:rPr>
                <w:rFonts w:ascii="Traditional Arabic" w:cs="Traditional Arabic"/>
                <w:sz w:val="32"/>
                <w:szCs w:val="32"/>
                <w:rtl/>
              </w:rPr>
              <w:t>الأوراق المالية المدعومة بالرهون العقارية</w:t>
            </w:r>
          </w:p>
        </w:tc>
        <w:tc>
          <w:tcPr>
            <w:tcW w:w="3280" w:type="dxa"/>
          </w:tcPr>
          <w:p w14:paraId="002FBC39" w14:textId="77777777" w:rsidR="00804E00" w:rsidRPr="00242401" w:rsidRDefault="000063E3">
            <w:pPr>
              <w:bidi/>
              <w:rPr>
                <w:sz w:val="32"/>
                <w:szCs w:val="32"/>
              </w:rPr>
            </w:pPr>
            <w:proofErr w:type="spellStart"/>
            <w:r w:rsidRPr="00242401">
              <w:rPr>
                <w:sz w:val="32"/>
                <w:szCs w:val="32"/>
              </w:rPr>
              <w:t>Mortgage-Backed</w:t>
            </w:r>
            <w:proofErr w:type="spellEnd"/>
            <w:r w:rsidRPr="00242401">
              <w:rPr>
                <w:sz w:val="32"/>
                <w:szCs w:val="32"/>
              </w:rPr>
              <w:t xml:space="preserve"> Securities</w:t>
            </w:r>
          </w:p>
        </w:tc>
      </w:tr>
      <w:tr w:rsidR="00804E00" w14:paraId="43116F16" w14:textId="77777777" w:rsidTr="00242401">
        <w:tc>
          <w:tcPr>
            <w:tcW w:w="1870" w:type="dxa"/>
          </w:tcPr>
          <w:p w14:paraId="407C9C4A" w14:textId="77777777" w:rsidR="00804E00" w:rsidRPr="00242401" w:rsidRDefault="000063E3">
            <w:pPr>
              <w:bidi/>
              <w:jc w:val="center"/>
              <w:rPr>
                <w:sz w:val="32"/>
                <w:szCs w:val="32"/>
              </w:rPr>
            </w:pPr>
            <w:r w:rsidRPr="00242401">
              <w:rPr>
                <w:sz w:val="32"/>
                <w:szCs w:val="32"/>
              </w:rPr>
              <w:t>CAR</w:t>
            </w:r>
          </w:p>
        </w:tc>
        <w:tc>
          <w:tcPr>
            <w:tcW w:w="4200" w:type="dxa"/>
          </w:tcPr>
          <w:p w14:paraId="0784A917" w14:textId="77777777" w:rsidR="00804E00" w:rsidRPr="00242401" w:rsidRDefault="000063E3">
            <w:pPr>
              <w:bidi/>
              <w:rPr>
                <w:sz w:val="32"/>
                <w:szCs w:val="32"/>
              </w:rPr>
            </w:pPr>
            <w:r w:rsidRPr="00242401">
              <w:rPr>
                <w:rFonts w:ascii="Traditional Arabic" w:cs="Traditional Arabic"/>
                <w:sz w:val="32"/>
                <w:szCs w:val="32"/>
                <w:rtl/>
              </w:rPr>
              <w:t>نسبة كفاية رأس المال</w:t>
            </w:r>
          </w:p>
        </w:tc>
        <w:tc>
          <w:tcPr>
            <w:tcW w:w="3280" w:type="dxa"/>
          </w:tcPr>
          <w:p w14:paraId="0757818B" w14:textId="77777777" w:rsidR="00804E00" w:rsidRPr="00242401" w:rsidRDefault="000063E3">
            <w:pPr>
              <w:bidi/>
              <w:rPr>
                <w:sz w:val="32"/>
                <w:szCs w:val="32"/>
              </w:rPr>
            </w:pPr>
            <w:r w:rsidRPr="00242401">
              <w:rPr>
                <w:sz w:val="32"/>
                <w:szCs w:val="32"/>
              </w:rPr>
              <w:t xml:space="preserve">Capital </w:t>
            </w:r>
            <w:proofErr w:type="spellStart"/>
            <w:r w:rsidRPr="00242401">
              <w:rPr>
                <w:sz w:val="32"/>
                <w:szCs w:val="32"/>
              </w:rPr>
              <w:t>Adequacy</w:t>
            </w:r>
            <w:proofErr w:type="spellEnd"/>
            <w:r w:rsidRPr="00242401">
              <w:rPr>
                <w:sz w:val="32"/>
                <w:szCs w:val="32"/>
              </w:rPr>
              <w:t xml:space="preserve"> Ratio</w:t>
            </w:r>
          </w:p>
        </w:tc>
      </w:tr>
      <w:tr w:rsidR="00804E00" w14:paraId="53997FCC" w14:textId="77777777" w:rsidTr="00242401">
        <w:tc>
          <w:tcPr>
            <w:tcW w:w="1870" w:type="dxa"/>
          </w:tcPr>
          <w:p w14:paraId="0EDF84AC" w14:textId="77777777" w:rsidR="00804E00" w:rsidRPr="00242401" w:rsidRDefault="000063E3">
            <w:pPr>
              <w:bidi/>
              <w:jc w:val="center"/>
              <w:rPr>
                <w:sz w:val="32"/>
                <w:szCs w:val="32"/>
              </w:rPr>
            </w:pPr>
            <w:r w:rsidRPr="00242401">
              <w:rPr>
                <w:sz w:val="32"/>
                <w:szCs w:val="32"/>
              </w:rPr>
              <w:t>RWA</w:t>
            </w:r>
          </w:p>
        </w:tc>
        <w:tc>
          <w:tcPr>
            <w:tcW w:w="4200" w:type="dxa"/>
          </w:tcPr>
          <w:p w14:paraId="2FF1809E" w14:textId="77777777" w:rsidR="00804E00" w:rsidRPr="00242401" w:rsidRDefault="000063E3">
            <w:pPr>
              <w:bidi/>
              <w:rPr>
                <w:sz w:val="32"/>
                <w:szCs w:val="32"/>
              </w:rPr>
            </w:pPr>
            <w:r w:rsidRPr="00242401">
              <w:rPr>
                <w:rFonts w:ascii="Traditional Arabic" w:cs="Traditional Arabic"/>
                <w:sz w:val="32"/>
                <w:szCs w:val="32"/>
                <w:rtl/>
              </w:rPr>
              <w:t>الأصول المرجحة بالمخاطر</w:t>
            </w:r>
          </w:p>
        </w:tc>
        <w:tc>
          <w:tcPr>
            <w:tcW w:w="3280" w:type="dxa"/>
          </w:tcPr>
          <w:p w14:paraId="5EE007D6" w14:textId="77777777" w:rsidR="00804E00" w:rsidRPr="00242401" w:rsidRDefault="000063E3">
            <w:pPr>
              <w:bidi/>
              <w:rPr>
                <w:sz w:val="32"/>
                <w:szCs w:val="32"/>
              </w:rPr>
            </w:pPr>
            <w:r w:rsidRPr="00242401">
              <w:rPr>
                <w:sz w:val="32"/>
                <w:szCs w:val="32"/>
              </w:rPr>
              <w:t>Risk-</w:t>
            </w:r>
            <w:proofErr w:type="spellStart"/>
            <w:r w:rsidRPr="00242401">
              <w:rPr>
                <w:sz w:val="32"/>
                <w:szCs w:val="32"/>
              </w:rPr>
              <w:t>Weighted</w:t>
            </w:r>
            <w:proofErr w:type="spellEnd"/>
            <w:r w:rsidRPr="00242401">
              <w:rPr>
                <w:sz w:val="32"/>
                <w:szCs w:val="32"/>
              </w:rPr>
              <w:t xml:space="preserve"> Assets</w:t>
            </w:r>
          </w:p>
        </w:tc>
      </w:tr>
      <w:tr w:rsidR="00804E00" w14:paraId="63BB8BBA" w14:textId="77777777" w:rsidTr="00242401">
        <w:tc>
          <w:tcPr>
            <w:tcW w:w="1870" w:type="dxa"/>
          </w:tcPr>
          <w:p w14:paraId="42C893E5" w14:textId="77777777" w:rsidR="00804E00" w:rsidRPr="00242401" w:rsidRDefault="000063E3">
            <w:pPr>
              <w:bidi/>
              <w:jc w:val="center"/>
              <w:rPr>
                <w:sz w:val="32"/>
                <w:szCs w:val="32"/>
              </w:rPr>
            </w:pPr>
            <w:r w:rsidRPr="00242401">
              <w:rPr>
                <w:sz w:val="32"/>
                <w:szCs w:val="32"/>
              </w:rPr>
              <w:t>LCR</w:t>
            </w:r>
          </w:p>
        </w:tc>
        <w:tc>
          <w:tcPr>
            <w:tcW w:w="4200" w:type="dxa"/>
          </w:tcPr>
          <w:p w14:paraId="23DE896A" w14:textId="77777777" w:rsidR="00804E00" w:rsidRPr="00242401" w:rsidRDefault="000063E3">
            <w:pPr>
              <w:bidi/>
              <w:rPr>
                <w:sz w:val="32"/>
                <w:szCs w:val="32"/>
              </w:rPr>
            </w:pPr>
            <w:r w:rsidRPr="00242401">
              <w:rPr>
                <w:rFonts w:ascii="Traditional Arabic" w:cs="Traditional Arabic"/>
                <w:sz w:val="32"/>
                <w:szCs w:val="32"/>
                <w:rtl/>
              </w:rPr>
              <w:t>نسبة تغطية السيولة</w:t>
            </w:r>
          </w:p>
        </w:tc>
        <w:tc>
          <w:tcPr>
            <w:tcW w:w="3280" w:type="dxa"/>
          </w:tcPr>
          <w:p w14:paraId="2B4A7D74" w14:textId="77777777" w:rsidR="00804E00" w:rsidRPr="00242401" w:rsidRDefault="000063E3">
            <w:pPr>
              <w:bidi/>
              <w:rPr>
                <w:sz w:val="32"/>
                <w:szCs w:val="32"/>
              </w:rPr>
            </w:pPr>
            <w:proofErr w:type="spellStart"/>
            <w:r w:rsidRPr="00242401">
              <w:rPr>
                <w:sz w:val="32"/>
                <w:szCs w:val="32"/>
              </w:rPr>
              <w:t>Liquidity</w:t>
            </w:r>
            <w:proofErr w:type="spellEnd"/>
            <w:r w:rsidRPr="00242401">
              <w:rPr>
                <w:sz w:val="32"/>
                <w:szCs w:val="32"/>
              </w:rPr>
              <w:t xml:space="preserve"> </w:t>
            </w:r>
            <w:proofErr w:type="spellStart"/>
            <w:r w:rsidRPr="00242401">
              <w:rPr>
                <w:sz w:val="32"/>
                <w:szCs w:val="32"/>
              </w:rPr>
              <w:t>Coverage</w:t>
            </w:r>
            <w:proofErr w:type="spellEnd"/>
            <w:r w:rsidRPr="00242401">
              <w:rPr>
                <w:sz w:val="32"/>
                <w:szCs w:val="32"/>
              </w:rPr>
              <w:t xml:space="preserve"> Ratio</w:t>
            </w:r>
          </w:p>
        </w:tc>
      </w:tr>
      <w:tr w:rsidR="00804E00" w14:paraId="770B7943" w14:textId="77777777" w:rsidTr="00242401">
        <w:tc>
          <w:tcPr>
            <w:tcW w:w="1870" w:type="dxa"/>
          </w:tcPr>
          <w:p w14:paraId="2CEC4E71" w14:textId="77777777" w:rsidR="00804E00" w:rsidRPr="00242401" w:rsidRDefault="000063E3">
            <w:pPr>
              <w:bidi/>
              <w:jc w:val="center"/>
              <w:rPr>
                <w:sz w:val="32"/>
                <w:szCs w:val="32"/>
              </w:rPr>
            </w:pPr>
            <w:r w:rsidRPr="00242401">
              <w:rPr>
                <w:sz w:val="32"/>
                <w:szCs w:val="32"/>
              </w:rPr>
              <w:t>NPL</w:t>
            </w:r>
          </w:p>
        </w:tc>
        <w:tc>
          <w:tcPr>
            <w:tcW w:w="4200" w:type="dxa"/>
          </w:tcPr>
          <w:p w14:paraId="0089FFCC" w14:textId="77777777" w:rsidR="00804E00" w:rsidRPr="00242401" w:rsidRDefault="000063E3">
            <w:pPr>
              <w:bidi/>
              <w:rPr>
                <w:sz w:val="32"/>
                <w:szCs w:val="32"/>
              </w:rPr>
            </w:pPr>
            <w:r w:rsidRPr="00242401">
              <w:rPr>
                <w:rFonts w:ascii="Traditional Arabic" w:cs="Traditional Arabic"/>
                <w:sz w:val="32"/>
                <w:szCs w:val="32"/>
                <w:rtl/>
              </w:rPr>
              <w:t>نسبة القروض المتعثرة</w:t>
            </w:r>
          </w:p>
        </w:tc>
        <w:tc>
          <w:tcPr>
            <w:tcW w:w="3280" w:type="dxa"/>
          </w:tcPr>
          <w:p w14:paraId="4926F82C" w14:textId="77777777" w:rsidR="00804E00" w:rsidRPr="00242401" w:rsidRDefault="000063E3">
            <w:pPr>
              <w:bidi/>
              <w:rPr>
                <w:sz w:val="32"/>
                <w:szCs w:val="32"/>
              </w:rPr>
            </w:pPr>
            <w:r w:rsidRPr="00242401">
              <w:rPr>
                <w:sz w:val="32"/>
                <w:szCs w:val="32"/>
              </w:rPr>
              <w:t>Non-</w:t>
            </w:r>
            <w:proofErr w:type="spellStart"/>
            <w:r w:rsidRPr="00242401">
              <w:rPr>
                <w:sz w:val="32"/>
                <w:szCs w:val="32"/>
              </w:rPr>
              <w:t>Performing</w:t>
            </w:r>
            <w:proofErr w:type="spellEnd"/>
            <w:r w:rsidRPr="00242401">
              <w:rPr>
                <w:sz w:val="32"/>
                <w:szCs w:val="32"/>
              </w:rPr>
              <w:t xml:space="preserve"> </w:t>
            </w:r>
            <w:proofErr w:type="spellStart"/>
            <w:r w:rsidRPr="00242401">
              <w:rPr>
                <w:sz w:val="32"/>
                <w:szCs w:val="32"/>
              </w:rPr>
              <w:t>Loans</w:t>
            </w:r>
            <w:proofErr w:type="spellEnd"/>
          </w:p>
        </w:tc>
      </w:tr>
      <w:tr w:rsidR="00804E00" w14:paraId="7D628F36" w14:textId="77777777" w:rsidTr="00242401">
        <w:tc>
          <w:tcPr>
            <w:tcW w:w="1870" w:type="dxa"/>
          </w:tcPr>
          <w:p w14:paraId="0E37FD5F" w14:textId="77777777" w:rsidR="00804E00" w:rsidRPr="00242401" w:rsidRDefault="000063E3">
            <w:pPr>
              <w:bidi/>
              <w:jc w:val="center"/>
              <w:rPr>
                <w:sz w:val="32"/>
                <w:szCs w:val="32"/>
              </w:rPr>
            </w:pPr>
            <w:r w:rsidRPr="00242401">
              <w:rPr>
                <w:sz w:val="32"/>
                <w:szCs w:val="32"/>
              </w:rPr>
              <w:t>SNB</w:t>
            </w:r>
          </w:p>
        </w:tc>
        <w:tc>
          <w:tcPr>
            <w:tcW w:w="4200" w:type="dxa"/>
          </w:tcPr>
          <w:p w14:paraId="14FFED12" w14:textId="77777777" w:rsidR="00804E00" w:rsidRPr="00242401" w:rsidRDefault="000063E3">
            <w:pPr>
              <w:bidi/>
              <w:rPr>
                <w:sz w:val="32"/>
                <w:szCs w:val="32"/>
              </w:rPr>
            </w:pPr>
            <w:r w:rsidRPr="00242401">
              <w:rPr>
                <w:rFonts w:ascii="Traditional Arabic" w:cs="Traditional Arabic"/>
                <w:sz w:val="32"/>
                <w:szCs w:val="32"/>
                <w:rtl/>
              </w:rPr>
              <w:t>البنك الأهلي السعودي</w:t>
            </w:r>
          </w:p>
        </w:tc>
        <w:tc>
          <w:tcPr>
            <w:tcW w:w="3280" w:type="dxa"/>
          </w:tcPr>
          <w:p w14:paraId="393690EC" w14:textId="77777777" w:rsidR="00804E00" w:rsidRPr="00242401" w:rsidRDefault="000063E3">
            <w:pPr>
              <w:bidi/>
              <w:rPr>
                <w:sz w:val="32"/>
                <w:szCs w:val="32"/>
              </w:rPr>
            </w:pPr>
            <w:proofErr w:type="spellStart"/>
            <w:r w:rsidRPr="00242401">
              <w:rPr>
                <w:sz w:val="32"/>
                <w:szCs w:val="32"/>
              </w:rPr>
              <w:t>Saudi</w:t>
            </w:r>
            <w:proofErr w:type="spellEnd"/>
            <w:r w:rsidRPr="00242401">
              <w:rPr>
                <w:sz w:val="32"/>
                <w:szCs w:val="32"/>
              </w:rPr>
              <w:t xml:space="preserve"> National Bank</w:t>
            </w:r>
          </w:p>
        </w:tc>
      </w:tr>
      <w:tr w:rsidR="00804E00" w14:paraId="4A46F27F" w14:textId="77777777" w:rsidTr="00242401">
        <w:tc>
          <w:tcPr>
            <w:tcW w:w="1870" w:type="dxa"/>
          </w:tcPr>
          <w:p w14:paraId="491D16E2" w14:textId="77777777" w:rsidR="00804E00" w:rsidRPr="00242401" w:rsidRDefault="000063E3">
            <w:pPr>
              <w:bidi/>
              <w:jc w:val="center"/>
              <w:rPr>
                <w:sz w:val="32"/>
                <w:szCs w:val="32"/>
              </w:rPr>
            </w:pPr>
            <w:r w:rsidRPr="00242401">
              <w:rPr>
                <w:sz w:val="32"/>
                <w:szCs w:val="32"/>
              </w:rPr>
              <w:t>SAMA</w:t>
            </w:r>
          </w:p>
        </w:tc>
        <w:tc>
          <w:tcPr>
            <w:tcW w:w="4200" w:type="dxa"/>
          </w:tcPr>
          <w:p w14:paraId="7C03B723" w14:textId="77777777" w:rsidR="00804E00" w:rsidRPr="00242401" w:rsidRDefault="000063E3">
            <w:pPr>
              <w:bidi/>
              <w:rPr>
                <w:sz w:val="32"/>
                <w:szCs w:val="32"/>
              </w:rPr>
            </w:pPr>
            <w:r w:rsidRPr="00242401">
              <w:rPr>
                <w:rFonts w:ascii="Traditional Arabic" w:cs="Traditional Arabic"/>
                <w:sz w:val="32"/>
                <w:szCs w:val="32"/>
                <w:rtl/>
              </w:rPr>
              <w:t>البنك المركزي السعودي (ساما)</w:t>
            </w:r>
          </w:p>
        </w:tc>
        <w:tc>
          <w:tcPr>
            <w:tcW w:w="3280" w:type="dxa"/>
          </w:tcPr>
          <w:p w14:paraId="3595AE28" w14:textId="77777777" w:rsidR="00804E00" w:rsidRPr="00242401" w:rsidRDefault="000063E3">
            <w:pPr>
              <w:bidi/>
              <w:rPr>
                <w:sz w:val="32"/>
                <w:szCs w:val="32"/>
              </w:rPr>
            </w:pPr>
            <w:proofErr w:type="spellStart"/>
            <w:r w:rsidRPr="00242401">
              <w:rPr>
                <w:sz w:val="32"/>
                <w:szCs w:val="32"/>
              </w:rPr>
              <w:t>Saudi</w:t>
            </w:r>
            <w:proofErr w:type="spellEnd"/>
            <w:r w:rsidRPr="00242401">
              <w:rPr>
                <w:sz w:val="32"/>
                <w:szCs w:val="32"/>
              </w:rPr>
              <w:t xml:space="preserve"> Central Bank</w:t>
            </w:r>
          </w:p>
        </w:tc>
      </w:tr>
      <w:tr w:rsidR="00804E00" w14:paraId="1CC64DFE" w14:textId="77777777" w:rsidTr="00242401">
        <w:tc>
          <w:tcPr>
            <w:tcW w:w="1870" w:type="dxa"/>
          </w:tcPr>
          <w:p w14:paraId="1ED1D44C" w14:textId="77777777" w:rsidR="00804E00" w:rsidRPr="00242401" w:rsidRDefault="000063E3">
            <w:pPr>
              <w:bidi/>
              <w:jc w:val="center"/>
              <w:rPr>
                <w:sz w:val="32"/>
                <w:szCs w:val="32"/>
              </w:rPr>
            </w:pPr>
            <w:r w:rsidRPr="00242401">
              <w:rPr>
                <w:sz w:val="32"/>
                <w:szCs w:val="32"/>
              </w:rPr>
              <w:t>CMA</w:t>
            </w:r>
          </w:p>
        </w:tc>
        <w:tc>
          <w:tcPr>
            <w:tcW w:w="4200" w:type="dxa"/>
          </w:tcPr>
          <w:p w14:paraId="72CA1922" w14:textId="77777777" w:rsidR="00804E00" w:rsidRPr="00242401" w:rsidRDefault="000063E3">
            <w:pPr>
              <w:bidi/>
              <w:rPr>
                <w:sz w:val="32"/>
                <w:szCs w:val="32"/>
              </w:rPr>
            </w:pPr>
            <w:r w:rsidRPr="00242401">
              <w:rPr>
                <w:rFonts w:ascii="Traditional Arabic" w:cs="Traditional Arabic"/>
                <w:sz w:val="32"/>
                <w:szCs w:val="32"/>
                <w:rtl/>
              </w:rPr>
              <w:t>هيئة السوق المالية السعودية</w:t>
            </w:r>
          </w:p>
        </w:tc>
        <w:tc>
          <w:tcPr>
            <w:tcW w:w="3280" w:type="dxa"/>
          </w:tcPr>
          <w:p w14:paraId="4E333007" w14:textId="77777777" w:rsidR="00804E00" w:rsidRPr="00242401" w:rsidRDefault="000063E3">
            <w:pPr>
              <w:bidi/>
              <w:rPr>
                <w:sz w:val="32"/>
                <w:szCs w:val="32"/>
              </w:rPr>
            </w:pPr>
            <w:r w:rsidRPr="00242401">
              <w:rPr>
                <w:sz w:val="32"/>
                <w:szCs w:val="32"/>
              </w:rPr>
              <w:t xml:space="preserve">Capital </w:t>
            </w:r>
            <w:proofErr w:type="spellStart"/>
            <w:r w:rsidRPr="00242401">
              <w:rPr>
                <w:sz w:val="32"/>
                <w:szCs w:val="32"/>
              </w:rPr>
              <w:t>Market</w:t>
            </w:r>
            <w:proofErr w:type="spellEnd"/>
            <w:r w:rsidRPr="00242401">
              <w:rPr>
                <w:sz w:val="32"/>
                <w:szCs w:val="32"/>
              </w:rPr>
              <w:t xml:space="preserve"> </w:t>
            </w:r>
            <w:proofErr w:type="spellStart"/>
            <w:r w:rsidRPr="00242401">
              <w:rPr>
                <w:sz w:val="32"/>
                <w:szCs w:val="32"/>
              </w:rPr>
              <w:t>Authority</w:t>
            </w:r>
            <w:proofErr w:type="spellEnd"/>
          </w:p>
        </w:tc>
      </w:tr>
    </w:tbl>
    <w:p w14:paraId="7EAACDC1" w14:textId="77777777" w:rsidR="00E60F58" w:rsidRDefault="00E60F58" w:rsidP="00540437">
      <w:pPr>
        <w:bidi/>
        <w:rPr>
          <w:rFonts w:ascii="Traditional Arabic" w:cs="Traditional Arabic"/>
          <w:sz w:val="28"/>
          <w:szCs w:val="28"/>
        </w:rPr>
      </w:pPr>
      <w:r>
        <w:rPr>
          <w:rFonts w:ascii="Traditional Arabic" w:cs="Traditional Arabic"/>
          <w:sz w:val="28"/>
          <w:szCs w:val="28"/>
        </w:rPr>
        <w:br w:type="page"/>
      </w:r>
    </w:p>
    <w:p w14:paraId="79A46610" w14:textId="19CED6F8" w:rsidR="00E60F58" w:rsidRDefault="00E60F58" w:rsidP="00540437">
      <w:pPr>
        <w:bidi/>
        <w:spacing w:after="0" w:line="240" w:lineRule="auto"/>
        <w:outlineLvl w:val="0"/>
        <w:rPr>
          <w:rFonts w:ascii="Traditional Arabic" w:cs="Traditional Arabic"/>
          <w:b/>
          <w:bCs/>
          <w:sz w:val="36"/>
          <w:szCs w:val="36"/>
          <w:rtl/>
          <w:lang w:bidi="ar-DZ"/>
        </w:rPr>
      </w:pPr>
      <w:r>
        <w:rPr>
          <w:rFonts w:ascii="Traditional Arabic" w:cs="Traditional Arabic"/>
          <w:b/>
          <w:bCs/>
          <w:sz w:val="36"/>
          <w:szCs w:val="36"/>
          <w:rtl/>
        </w:rPr>
        <w:lastRenderedPageBreak/>
        <w:t xml:space="preserve">قائمة </w:t>
      </w:r>
      <w:r w:rsidR="00590470">
        <w:rPr>
          <w:rFonts w:ascii="Traditional Arabic" w:cs="Traditional Arabic" w:hint="cs"/>
          <w:b/>
          <w:bCs/>
          <w:sz w:val="36"/>
          <w:szCs w:val="36"/>
          <w:rtl/>
          <w:lang w:bidi="ar-DZ"/>
        </w:rPr>
        <w:t>الاشكال</w:t>
      </w:r>
    </w:p>
    <w:tbl>
      <w:tblPr>
        <w:tblStyle w:val="Grilledutableau"/>
        <w:bidiVisual/>
        <w:tblW w:w="0" w:type="auto"/>
        <w:tblLook w:val="04A0" w:firstRow="1" w:lastRow="0" w:firstColumn="1" w:lastColumn="0" w:noHBand="0" w:noVBand="1"/>
      </w:tblPr>
      <w:tblGrid>
        <w:gridCol w:w="8369"/>
        <w:gridCol w:w="693"/>
      </w:tblGrid>
      <w:tr w:rsidR="00590470" w:rsidRPr="00590470" w14:paraId="0972D51D" w14:textId="77777777" w:rsidTr="00590470">
        <w:tc>
          <w:tcPr>
            <w:tcW w:w="8369" w:type="dxa"/>
          </w:tcPr>
          <w:p w14:paraId="1CE1D4B8" w14:textId="77777777" w:rsidR="00590470" w:rsidRPr="00590470" w:rsidRDefault="00590470" w:rsidP="00F11040">
            <w:pPr>
              <w:bidi/>
              <w:rPr>
                <w:rFonts w:ascii="Traditional Arabic" w:cs="Traditional Arabic"/>
                <w:b/>
                <w:bCs/>
                <w:sz w:val="36"/>
                <w:szCs w:val="36"/>
                <w:rtl/>
                <w:lang w:bidi="ar-DZ"/>
              </w:rPr>
            </w:pPr>
            <w:r w:rsidRPr="00590470">
              <w:rPr>
                <w:rFonts w:ascii="Traditional Arabic" w:cs="Traditional Arabic"/>
                <w:b/>
                <w:bCs/>
                <w:sz w:val="36"/>
                <w:szCs w:val="36"/>
                <w:rtl/>
                <w:lang w:bidi="ar-DZ"/>
              </w:rPr>
              <w:t>الشكل رقم 1 الهيكل التنظيمي المبسّط للبنك الأهلي السعودي</w:t>
            </w:r>
          </w:p>
        </w:tc>
        <w:tc>
          <w:tcPr>
            <w:tcW w:w="693" w:type="dxa"/>
          </w:tcPr>
          <w:p w14:paraId="1EAA61B3" w14:textId="77777777" w:rsidR="00590470" w:rsidRPr="00590470" w:rsidRDefault="00590470" w:rsidP="00F11040">
            <w:pPr>
              <w:bidi/>
              <w:rPr>
                <w:rFonts w:ascii="Traditional Arabic" w:cs="Traditional Arabic"/>
                <w:b/>
                <w:bCs/>
                <w:sz w:val="36"/>
                <w:szCs w:val="36"/>
                <w:lang w:bidi="ar-DZ"/>
              </w:rPr>
            </w:pPr>
            <w:r w:rsidRPr="00590470">
              <w:rPr>
                <w:rFonts w:ascii="Traditional Arabic" w:cs="Traditional Arabic"/>
                <w:b/>
                <w:bCs/>
                <w:sz w:val="36"/>
                <w:szCs w:val="36"/>
                <w:rtl/>
                <w:lang w:bidi="ar-DZ"/>
              </w:rPr>
              <w:t>35</w:t>
            </w:r>
          </w:p>
        </w:tc>
      </w:tr>
      <w:tr w:rsidR="00590470" w:rsidRPr="00590470" w14:paraId="648874C5" w14:textId="77777777" w:rsidTr="00590470">
        <w:tc>
          <w:tcPr>
            <w:tcW w:w="8369" w:type="dxa"/>
          </w:tcPr>
          <w:p w14:paraId="15667F25" w14:textId="77777777" w:rsidR="00590470" w:rsidRPr="00590470" w:rsidRDefault="00590470" w:rsidP="00F11040">
            <w:pPr>
              <w:bidi/>
              <w:rPr>
                <w:rFonts w:ascii="Traditional Arabic" w:cs="Traditional Arabic"/>
                <w:b/>
                <w:bCs/>
                <w:sz w:val="36"/>
                <w:szCs w:val="36"/>
                <w:rtl/>
                <w:lang w:bidi="ar-DZ"/>
              </w:rPr>
            </w:pPr>
            <w:r w:rsidRPr="00590470">
              <w:rPr>
                <w:rFonts w:ascii="Traditional Arabic" w:cs="Traditional Arabic"/>
                <w:b/>
                <w:bCs/>
                <w:sz w:val="36"/>
                <w:szCs w:val="36"/>
                <w:rtl/>
                <w:lang w:bidi="ar-DZ"/>
              </w:rPr>
              <w:t>الشكل رقم 2 التوزيع النسبي للأصول الموّرقة في البنك الأهلي السعودي (2023)</w:t>
            </w:r>
          </w:p>
        </w:tc>
        <w:tc>
          <w:tcPr>
            <w:tcW w:w="693" w:type="dxa"/>
          </w:tcPr>
          <w:p w14:paraId="18287E78" w14:textId="77777777" w:rsidR="00590470" w:rsidRPr="00590470" w:rsidRDefault="00590470" w:rsidP="00F11040">
            <w:pPr>
              <w:bidi/>
              <w:rPr>
                <w:rFonts w:ascii="Traditional Arabic" w:cs="Traditional Arabic"/>
                <w:b/>
                <w:bCs/>
                <w:sz w:val="36"/>
                <w:szCs w:val="36"/>
                <w:lang w:bidi="ar-DZ"/>
              </w:rPr>
            </w:pPr>
            <w:r w:rsidRPr="00590470">
              <w:rPr>
                <w:rFonts w:ascii="Traditional Arabic" w:cs="Traditional Arabic"/>
                <w:b/>
                <w:bCs/>
                <w:sz w:val="36"/>
                <w:szCs w:val="36"/>
                <w:rtl/>
                <w:lang w:bidi="ar-DZ"/>
              </w:rPr>
              <w:t>39</w:t>
            </w:r>
          </w:p>
        </w:tc>
      </w:tr>
      <w:tr w:rsidR="00590470" w:rsidRPr="00590470" w14:paraId="30F25424" w14:textId="77777777" w:rsidTr="00590470">
        <w:tc>
          <w:tcPr>
            <w:tcW w:w="8369" w:type="dxa"/>
          </w:tcPr>
          <w:p w14:paraId="61F485BA" w14:textId="77777777" w:rsidR="00590470" w:rsidRPr="00590470" w:rsidRDefault="00590470" w:rsidP="00F11040">
            <w:pPr>
              <w:bidi/>
              <w:rPr>
                <w:rFonts w:ascii="Traditional Arabic" w:cs="Traditional Arabic"/>
                <w:b/>
                <w:bCs/>
                <w:sz w:val="36"/>
                <w:szCs w:val="36"/>
                <w:rtl/>
                <w:lang w:bidi="ar-DZ"/>
              </w:rPr>
            </w:pPr>
            <w:r w:rsidRPr="00590470">
              <w:rPr>
                <w:rFonts w:ascii="Traditional Arabic" w:cs="Traditional Arabic"/>
                <w:b/>
                <w:bCs/>
                <w:sz w:val="36"/>
                <w:szCs w:val="36"/>
                <w:rtl/>
                <w:lang w:bidi="ar-DZ"/>
              </w:rPr>
              <w:t>الشكل رقم 3 هيكل عملية التوريق في البنك الأهلي السعودي</w:t>
            </w:r>
          </w:p>
        </w:tc>
        <w:tc>
          <w:tcPr>
            <w:tcW w:w="693" w:type="dxa"/>
          </w:tcPr>
          <w:p w14:paraId="7CBB1A71" w14:textId="77777777" w:rsidR="00590470" w:rsidRPr="00590470" w:rsidRDefault="00590470" w:rsidP="00F11040">
            <w:pPr>
              <w:bidi/>
              <w:rPr>
                <w:rFonts w:ascii="Traditional Arabic" w:cs="Traditional Arabic"/>
                <w:b/>
                <w:bCs/>
                <w:sz w:val="36"/>
                <w:szCs w:val="36"/>
                <w:lang w:bidi="ar-DZ"/>
              </w:rPr>
            </w:pPr>
            <w:r w:rsidRPr="00590470">
              <w:rPr>
                <w:rFonts w:ascii="Traditional Arabic" w:cs="Traditional Arabic"/>
                <w:b/>
                <w:bCs/>
                <w:sz w:val="36"/>
                <w:szCs w:val="36"/>
                <w:rtl/>
                <w:lang w:bidi="ar-DZ"/>
              </w:rPr>
              <w:t>41</w:t>
            </w:r>
          </w:p>
        </w:tc>
      </w:tr>
      <w:tr w:rsidR="00590470" w:rsidRPr="00590470" w14:paraId="1A4C1663" w14:textId="77777777" w:rsidTr="00590470">
        <w:tc>
          <w:tcPr>
            <w:tcW w:w="8369" w:type="dxa"/>
          </w:tcPr>
          <w:p w14:paraId="5B92C2EA" w14:textId="77777777" w:rsidR="00590470" w:rsidRPr="00590470" w:rsidRDefault="00590470" w:rsidP="00F11040">
            <w:pPr>
              <w:bidi/>
              <w:rPr>
                <w:rFonts w:ascii="Traditional Arabic" w:cs="Traditional Arabic"/>
                <w:b/>
                <w:bCs/>
                <w:sz w:val="36"/>
                <w:szCs w:val="36"/>
                <w:rtl/>
                <w:lang w:bidi="ar-DZ"/>
              </w:rPr>
            </w:pPr>
            <w:r w:rsidRPr="00590470">
              <w:rPr>
                <w:rFonts w:ascii="Traditional Arabic" w:cs="Traditional Arabic"/>
                <w:b/>
                <w:bCs/>
                <w:sz w:val="36"/>
                <w:szCs w:val="36"/>
                <w:rtl/>
                <w:lang w:bidi="ar-DZ"/>
              </w:rPr>
              <w:t>الشكل رقم 4 التوزيع النسبي لشرائح التوريق – إصدار 2023</w:t>
            </w:r>
          </w:p>
        </w:tc>
        <w:tc>
          <w:tcPr>
            <w:tcW w:w="693" w:type="dxa"/>
          </w:tcPr>
          <w:p w14:paraId="284C830B" w14:textId="77777777" w:rsidR="00590470" w:rsidRPr="00590470" w:rsidRDefault="00590470" w:rsidP="00F11040">
            <w:pPr>
              <w:bidi/>
              <w:rPr>
                <w:rFonts w:ascii="Traditional Arabic" w:cs="Traditional Arabic"/>
                <w:b/>
                <w:bCs/>
                <w:sz w:val="36"/>
                <w:szCs w:val="36"/>
                <w:lang w:bidi="ar-DZ"/>
              </w:rPr>
            </w:pPr>
            <w:r w:rsidRPr="00590470">
              <w:rPr>
                <w:rFonts w:ascii="Traditional Arabic" w:cs="Traditional Arabic"/>
                <w:b/>
                <w:bCs/>
                <w:sz w:val="36"/>
                <w:szCs w:val="36"/>
                <w:rtl/>
                <w:lang w:bidi="ar-DZ"/>
              </w:rPr>
              <w:t>45</w:t>
            </w:r>
          </w:p>
        </w:tc>
      </w:tr>
      <w:tr w:rsidR="00590470" w:rsidRPr="00590470" w14:paraId="1218FCA4" w14:textId="77777777" w:rsidTr="00590470">
        <w:tc>
          <w:tcPr>
            <w:tcW w:w="8369" w:type="dxa"/>
          </w:tcPr>
          <w:p w14:paraId="7403A230" w14:textId="77777777" w:rsidR="00590470" w:rsidRPr="00590470" w:rsidRDefault="00590470" w:rsidP="00F11040">
            <w:pPr>
              <w:bidi/>
              <w:rPr>
                <w:rFonts w:ascii="Traditional Arabic" w:cs="Traditional Arabic"/>
                <w:b/>
                <w:bCs/>
                <w:sz w:val="36"/>
                <w:szCs w:val="36"/>
                <w:rtl/>
                <w:lang w:bidi="ar-DZ"/>
              </w:rPr>
            </w:pPr>
            <w:r w:rsidRPr="00590470">
              <w:rPr>
                <w:rFonts w:ascii="Traditional Arabic" w:cs="Traditional Arabic"/>
                <w:b/>
                <w:bCs/>
                <w:sz w:val="36"/>
                <w:szCs w:val="36"/>
                <w:rtl/>
                <w:lang w:bidi="ar-DZ"/>
              </w:rPr>
              <w:t>الشكل رقم 5 العلاقة العكسية بين حجم التوريق ونسبة الديون المتعثرة (2019–2023)</w:t>
            </w:r>
          </w:p>
        </w:tc>
        <w:tc>
          <w:tcPr>
            <w:tcW w:w="693" w:type="dxa"/>
          </w:tcPr>
          <w:p w14:paraId="4A71FD8E" w14:textId="77777777" w:rsidR="00590470" w:rsidRPr="00590470" w:rsidRDefault="00590470" w:rsidP="00F11040">
            <w:pPr>
              <w:bidi/>
              <w:rPr>
                <w:rFonts w:ascii="Traditional Arabic" w:cs="Traditional Arabic"/>
                <w:b/>
                <w:bCs/>
                <w:sz w:val="36"/>
                <w:szCs w:val="36"/>
                <w:lang w:bidi="ar-DZ"/>
              </w:rPr>
            </w:pPr>
            <w:r w:rsidRPr="00590470">
              <w:rPr>
                <w:rFonts w:ascii="Traditional Arabic" w:cs="Traditional Arabic"/>
                <w:b/>
                <w:bCs/>
                <w:sz w:val="36"/>
                <w:szCs w:val="36"/>
                <w:rtl/>
                <w:lang w:bidi="ar-DZ"/>
              </w:rPr>
              <w:t>48</w:t>
            </w:r>
          </w:p>
        </w:tc>
      </w:tr>
      <w:tr w:rsidR="00590470" w:rsidRPr="00590470" w14:paraId="15CCF26C" w14:textId="77777777" w:rsidTr="00590470">
        <w:tc>
          <w:tcPr>
            <w:tcW w:w="8369" w:type="dxa"/>
          </w:tcPr>
          <w:p w14:paraId="63A0E110" w14:textId="77777777" w:rsidR="00590470" w:rsidRPr="00590470" w:rsidRDefault="00590470" w:rsidP="00F11040">
            <w:pPr>
              <w:bidi/>
              <w:rPr>
                <w:rFonts w:ascii="Traditional Arabic" w:cs="Traditional Arabic"/>
                <w:b/>
                <w:bCs/>
                <w:sz w:val="36"/>
                <w:szCs w:val="36"/>
                <w:rtl/>
                <w:lang w:bidi="ar-DZ"/>
              </w:rPr>
            </w:pPr>
            <w:r w:rsidRPr="00590470">
              <w:rPr>
                <w:rFonts w:ascii="Traditional Arabic" w:cs="Traditional Arabic"/>
                <w:b/>
                <w:bCs/>
                <w:sz w:val="36"/>
                <w:szCs w:val="36"/>
                <w:rtl/>
                <w:lang w:bidi="ar-DZ"/>
              </w:rPr>
              <w:t>الشكل رقم 6 تطوّر نسبة تغطية السيولة (</w:t>
            </w:r>
            <w:r w:rsidRPr="00590470">
              <w:rPr>
                <w:rFonts w:ascii="Traditional Arabic" w:cs="Traditional Arabic"/>
                <w:b/>
                <w:bCs/>
                <w:sz w:val="36"/>
                <w:szCs w:val="36"/>
                <w:lang w:bidi="ar-DZ"/>
              </w:rPr>
              <w:t>LCR</w:t>
            </w:r>
            <w:r w:rsidRPr="00590470">
              <w:rPr>
                <w:rFonts w:ascii="Traditional Arabic" w:cs="Traditional Arabic"/>
                <w:b/>
                <w:bCs/>
                <w:sz w:val="36"/>
                <w:szCs w:val="36"/>
                <w:rtl/>
                <w:lang w:bidi="ar-DZ"/>
              </w:rPr>
              <w:t>) في البنك الأهلي السعودي 2019–2023</w:t>
            </w:r>
          </w:p>
        </w:tc>
        <w:tc>
          <w:tcPr>
            <w:tcW w:w="693" w:type="dxa"/>
          </w:tcPr>
          <w:p w14:paraId="2DE71993" w14:textId="77777777" w:rsidR="00590470" w:rsidRPr="00590470" w:rsidRDefault="00590470" w:rsidP="00F11040">
            <w:pPr>
              <w:bidi/>
              <w:rPr>
                <w:rFonts w:ascii="Traditional Arabic" w:cs="Traditional Arabic"/>
                <w:b/>
                <w:bCs/>
                <w:sz w:val="36"/>
                <w:szCs w:val="36"/>
                <w:lang w:bidi="ar-DZ"/>
              </w:rPr>
            </w:pPr>
            <w:r w:rsidRPr="00590470">
              <w:rPr>
                <w:rFonts w:ascii="Traditional Arabic" w:cs="Traditional Arabic"/>
                <w:b/>
                <w:bCs/>
                <w:sz w:val="36"/>
                <w:szCs w:val="36"/>
                <w:rtl/>
                <w:lang w:bidi="ar-DZ"/>
              </w:rPr>
              <w:t>50</w:t>
            </w:r>
          </w:p>
        </w:tc>
      </w:tr>
      <w:tr w:rsidR="00590470" w:rsidRPr="00590470" w14:paraId="1874809F" w14:textId="77777777" w:rsidTr="00590470">
        <w:tc>
          <w:tcPr>
            <w:tcW w:w="8369" w:type="dxa"/>
          </w:tcPr>
          <w:p w14:paraId="727CE0CA" w14:textId="77777777" w:rsidR="00590470" w:rsidRPr="00590470" w:rsidRDefault="00590470" w:rsidP="00F11040">
            <w:pPr>
              <w:bidi/>
              <w:rPr>
                <w:rFonts w:ascii="Traditional Arabic" w:cs="Traditional Arabic"/>
                <w:b/>
                <w:bCs/>
                <w:sz w:val="36"/>
                <w:szCs w:val="36"/>
                <w:rtl/>
                <w:lang w:bidi="ar-DZ"/>
              </w:rPr>
            </w:pPr>
            <w:r w:rsidRPr="00590470">
              <w:rPr>
                <w:rFonts w:ascii="Traditional Arabic" w:cs="Traditional Arabic"/>
                <w:b/>
                <w:bCs/>
                <w:sz w:val="36"/>
                <w:szCs w:val="36"/>
                <w:rtl/>
                <w:lang w:bidi="ar-DZ"/>
              </w:rPr>
              <w:t>الشكل رقم 7 أثر التوريق على نسبة كفاية رأس المال في البنك الأهلي السعودي</w:t>
            </w:r>
          </w:p>
        </w:tc>
        <w:tc>
          <w:tcPr>
            <w:tcW w:w="693" w:type="dxa"/>
          </w:tcPr>
          <w:p w14:paraId="3BC89121" w14:textId="77777777" w:rsidR="00590470" w:rsidRPr="00590470" w:rsidRDefault="00590470" w:rsidP="00F11040">
            <w:pPr>
              <w:bidi/>
              <w:rPr>
                <w:rFonts w:ascii="Traditional Arabic" w:cs="Traditional Arabic"/>
                <w:b/>
                <w:bCs/>
                <w:sz w:val="36"/>
                <w:szCs w:val="36"/>
                <w:lang w:bidi="ar-DZ"/>
              </w:rPr>
            </w:pPr>
            <w:r w:rsidRPr="00590470">
              <w:rPr>
                <w:rFonts w:ascii="Traditional Arabic" w:cs="Traditional Arabic"/>
                <w:b/>
                <w:bCs/>
                <w:sz w:val="36"/>
                <w:szCs w:val="36"/>
                <w:rtl/>
                <w:lang w:bidi="ar-DZ"/>
              </w:rPr>
              <w:t>52</w:t>
            </w:r>
          </w:p>
        </w:tc>
      </w:tr>
      <w:tr w:rsidR="00590470" w:rsidRPr="00590470" w14:paraId="2C95CCD4" w14:textId="77777777" w:rsidTr="00590470">
        <w:tc>
          <w:tcPr>
            <w:tcW w:w="8369" w:type="dxa"/>
          </w:tcPr>
          <w:p w14:paraId="4877213D" w14:textId="77777777" w:rsidR="00590470" w:rsidRPr="00590470" w:rsidRDefault="00590470" w:rsidP="00F11040">
            <w:pPr>
              <w:bidi/>
              <w:rPr>
                <w:rFonts w:ascii="Traditional Arabic" w:cs="Traditional Arabic"/>
                <w:b/>
                <w:bCs/>
                <w:sz w:val="36"/>
                <w:szCs w:val="36"/>
                <w:rtl/>
                <w:lang w:bidi="ar-DZ"/>
              </w:rPr>
            </w:pPr>
            <w:r w:rsidRPr="00590470">
              <w:rPr>
                <w:rFonts w:ascii="Traditional Arabic" w:cs="Traditional Arabic"/>
                <w:b/>
                <w:bCs/>
                <w:sz w:val="36"/>
                <w:szCs w:val="36"/>
                <w:rtl/>
                <w:lang w:bidi="ar-DZ"/>
              </w:rPr>
              <w:t xml:space="preserve">الشكل رقم 8 مقارنة نسبة </w:t>
            </w:r>
            <w:r w:rsidRPr="00590470">
              <w:rPr>
                <w:rFonts w:ascii="Traditional Arabic" w:cs="Traditional Arabic"/>
                <w:b/>
                <w:bCs/>
                <w:sz w:val="36"/>
                <w:szCs w:val="36"/>
                <w:lang w:bidi="ar-DZ"/>
              </w:rPr>
              <w:t>CAR</w:t>
            </w:r>
            <w:r w:rsidRPr="00590470">
              <w:rPr>
                <w:rFonts w:ascii="Traditional Arabic" w:cs="Traditional Arabic"/>
                <w:b/>
                <w:bCs/>
                <w:sz w:val="36"/>
                <w:szCs w:val="36"/>
                <w:rtl/>
                <w:lang w:bidi="ar-DZ"/>
              </w:rPr>
              <w:t xml:space="preserve"> قبل التوريق وبعده (2019–2023)</w:t>
            </w:r>
          </w:p>
        </w:tc>
        <w:tc>
          <w:tcPr>
            <w:tcW w:w="693" w:type="dxa"/>
          </w:tcPr>
          <w:p w14:paraId="1D42F3F5" w14:textId="77777777" w:rsidR="00590470" w:rsidRPr="00590470" w:rsidRDefault="00590470" w:rsidP="00F11040">
            <w:pPr>
              <w:bidi/>
              <w:rPr>
                <w:rFonts w:ascii="Traditional Arabic" w:cs="Traditional Arabic"/>
                <w:b/>
                <w:bCs/>
                <w:sz w:val="36"/>
                <w:szCs w:val="36"/>
                <w:lang w:bidi="ar-DZ"/>
              </w:rPr>
            </w:pPr>
            <w:r w:rsidRPr="00590470">
              <w:rPr>
                <w:rFonts w:ascii="Traditional Arabic" w:cs="Traditional Arabic"/>
                <w:b/>
                <w:bCs/>
                <w:sz w:val="36"/>
                <w:szCs w:val="36"/>
                <w:rtl/>
                <w:lang w:bidi="ar-DZ"/>
              </w:rPr>
              <w:t>54</w:t>
            </w:r>
          </w:p>
        </w:tc>
      </w:tr>
    </w:tbl>
    <w:p w14:paraId="2F199B6C" w14:textId="6D0993E7" w:rsidR="00590470" w:rsidRPr="00590470" w:rsidRDefault="00590470" w:rsidP="00590470">
      <w:pPr>
        <w:bidi/>
        <w:spacing w:after="0" w:line="240" w:lineRule="auto"/>
        <w:rPr>
          <w:rFonts w:ascii="Traditional Arabic" w:cs="Traditional Arabic"/>
          <w:b/>
          <w:bCs/>
          <w:sz w:val="36"/>
          <w:szCs w:val="36"/>
          <w:lang w:bidi="ar-DZ"/>
        </w:rPr>
      </w:pPr>
    </w:p>
    <w:p w14:paraId="32EC64E1" w14:textId="0CD24D6A" w:rsidR="00E60F58" w:rsidRDefault="00590470" w:rsidP="00590470">
      <w:pPr>
        <w:bidi/>
        <w:spacing w:after="0" w:line="240" w:lineRule="auto"/>
        <w:outlineLvl w:val="0"/>
        <w:rPr>
          <w:rFonts w:ascii="Traditional Arabic" w:cs="Traditional Arabic"/>
          <w:b/>
          <w:bCs/>
          <w:sz w:val="36"/>
          <w:szCs w:val="36"/>
          <w:rtl/>
          <w:lang w:bidi="ar-DZ"/>
        </w:rPr>
      </w:pPr>
      <w:r w:rsidRPr="00590470">
        <w:rPr>
          <w:rFonts w:ascii="Traditional Arabic" w:cs="Traditional Arabic" w:hint="cs"/>
          <w:b/>
          <w:bCs/>
          <w:sz w:val="36"/>
          <w:szCs w:val="36"/>
          <w:rtl/>
          <w:lang w:bidi="ar-DZ"/>
        </w:rPr>
        <w:t>قائمة الجداو</w:t>
      </w:r>
      <w:r>
        <w:rPr>
          <w:rFonts w:ascii="Traditional Arabic" w:cs="Traditional Arabic" w:hint="cs"/>
          <w:b/>
          <w:bCs/>
          <w:sz w:val="36"/>
          <w:szCs w:val="36"/>
          <w:rtl/>
          <w:lang w:bidi="ar-DZ"/>
        </w:rPr>
        <w:t>ل</w:t>
      </w:r>
    </w:p>
    <w:tbl>
      <w:tblPr>
        <w:tblStyle w:val="Grilledutableau"/>
        <w:bidiVisual/>
        <w:tblW w:w="0" w:type="auto"/>
        <w:tblLook w:val="04A0" w:firstRow="1" w:lastRow="0" w:firstColumn="1" w:lastColumn="0" w:noHBand="0" w:noVBand="1"/>
      </w:tblPr>
      <w:tblGrid>
        <w:gridCol w:w="8369"/>
        <w:gridCol w:w="693"/>
      </w:tblGrid>
      <w:tr w:rsidR="00590470" w:rsidRPr="004B1BB8" w14:paraId="0D059927" w14:textId="77777777" w:rsidTr="00590470">
        <w:tc>
          <w:tcPr>
            <w:tcW w:w="8369" w:type="dxa"/>
          </w:tcPr>
          <w:p w14:paraId="46FE750E"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1 مقارنة بين أنواع المخاطر المصرفية وآليات التوريق في التعامل معها</w:t>
            </w:r>
          </w:p>
        </w:tc>
        <w:tc>
          <w:tcPr>
            <w:tcW w:w="693" w:type="dxa"/>
          </w:tcPr>
          <w:p w14:paraId="2ADD7606"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28</w:t>
            </w:r>
          </w:p>
        </w:tc>
      </w:tr>
      <w:tr w:rsidR="00590470" w:rsidRPr="004B1BB8" w14:paraId="1E7BDC85" w14:textId="77777777" w:rsidTr="00590470">
        <w:tc>
          <w:tcPr>
            <w:tcW w:w="8369" w:type="dxa"/>
          </w:tcPr>
          <w:p w14:paraId="2AD11FE5"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2 مراحل عملية التوريق المصرفي ومشاركو كل مرحلة</w:t>
            </w:r>
          </w:p>
        </w:tc>
        <w:tc>
          <w:tcPr>
            <w:tcW w:w="693" w:type="dxa"/>
          </w:tcPr>
          <w:p w14:paraId="33C16CE8"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28</w:t>
            </w:r>
          </w:p>
        </w:tc>
      </w:tr>
      <w:tr w:rsidR="00590470" w:rsidRPr="004B1BB8" w14:paraId="5617BCB1" w14:textId="77777777" w:rsidTr="00590470">
        <w:tc>
          <w:tcPr>
            <w:tcW w:w="8369" w:type="dxa"/>
          </w:tcPr>
          <w:p w14:paraId="10C7A4CC"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3 بطاقة فنية – البنك الأهلي السعودي</w:t>
            </w:r>
          </w:p>
        </w:tc>
        <w:tc>
          <w:tcPr>
            <w:tcW w:w="693" w:type="dxa"/>
          </w:tcPr>
          <w:p w14:paraId="5609EEB7"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32</w:t>
            </w:r>
          </w:p>
        </w:tc>
      </w:tr>
      <w:tr w:rsidR="00590470" w:rsidRPr="004B1BB8" w14:paraId="2FD78A38" w14:textId="77777777" w:rsidTr="00590470">
        <w:tc>
          <w:tcPr>
            <w:tcW w:w="8369" w:type="dxa"/>
          </w:tcPr>
          <w:p w14:paraId="67AEC6D0"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4 المحطات التاريخية الكبرى لمسيرة البنك الأهلي السعودي</w:t>
            </w:r>
          </w:p>
        </w:tc>
        <w:tc>
          <w:tcPr>
            <w:tcW w:w="693" w:type="dxa"/>
          </w:tcPr>
          <w:p w14:paraId="370E04B6"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32</w:t>
            </w:r>
          </w:p>
        </w:tc>
      </w:tr>
      <w:tr w:rsidR="00590470" w:rsidRPr="004B1BB8" w14:paraId="7328CD19" w14:textId="77777777" w:rsidTr="00590470">
        <w:tc>
          <w:tcPr>
            <w:tcW w:w="8369" w:type="dxa"/>
          </w:tcPr>
          <w:p w14:paraId="7ADE407C"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5 المؤشرات المالية الرئيسية للبنك الأهلي السعودي (2023)</w:t>
            </w:r>
          </w:p>
        </w:tc>
        <w:tc>
          <w:tcPr>
            <w:tcW w:w="693" w:type="dxa"/>
          </w:tcPr>
          <w:p w14:paraId="3B5CD374"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33</w:t>
            </w:r>
          </w:p>
        </w:tc>
      </w:tr>
      <w:tr w:rsidR="00590470" w:rsidRPr="004B1BB8" w14:paraId="1D29071D" w14:textId="77777777" w:rsidTr="00590470">
        <w:tc>
          <w:tcPr>
            <w:tcW w:w="8369" w:type="dxa"/>
          </w:tcPr>
          <w:p w14:paraId="7F512E9D"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6 أهم النصوص التشريعية المنظِّمة للتوريق في المملكة العربية السعودية</w:t>
            </w:r>
          </w:p>
        </w:tc>
        <w:tc>
          <w:tcPr>
            <w:tcW w:w="693" w:type="dxa"/>
          </w:tcPr>
          <w:p w14:paraId="68764B06"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36</w:t>
            </w:r>
          </w:p>
        </w:tc>
      </w:tr>
      <w:tr w:rsidR="00590470" w:rsidRPr="004B1BB8" w14:paraId="4086F499" w14:textId="77777777" w:rsidTr="00590470">
        <w:tc>
          <w:tcPr>
            <w:tcW w:w="8369" w:type="dxa"/>
          </w:tcPr>
          <w:p w14:paraId="4A02A685"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7 تصنيف الأصول الموّرقة في البنك الأهلي السعودي (2021–2023)</w:t>
            </w:r>
          </w:p>
        </w:tc>
        <w:tc>
          <w:tcPr>
            <w:tcW w:w="693" w:type="dxa"/>
          </w:tcPr>
          <w:p w14:paraId="62BB24FD"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38</w:t>
            </w:r>
          </w:p>
        </w:tc>
      </w:tr>
      <w:tr w:rsidR="00590470" w:rsidRPr="004B1BB8" w14:paraId="3A62106A" w14:textId="77777777" w:rsidTr="00590470">
        <w:tc>
          <w:tcPr>
            <w:tcW w:w="8369" w:type="dxa"/>
          </w:tcPr>
          <w:p w14:paraId="146260A2"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8 مراحل تنفيذ عملية التوريق في البنك الأهلي السعودي</w:t>
            </w:r>
          </w:p>
        </w:tc>
        <w:tc>
          <w:tcPr>
            <w:tcW w:w="693" w:type="dxa"/>
          </w:tcPr>
          <w:p w14:paraId="1D21F288"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42</w:t>
            </w:r>
          </w:p>
        </w:tc>
      </w:tr>
      <w:tr w:rsidR="00590470" w:rsidRPr="004B1BB8" w14:paraId="393F1576" w14:textId="77777777" w:rsidTr="00590470">
        <w:tc>
          <w:tcPr>
            <w:tcW w:w="8369" w:type="dxa"/>
          </w:tcPr>
          <w:p w14:paraId="5F1C9782"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9هيكلة الشرائح في إصدار صكوك التوريق العقاري للبنك الأهلي السعودي (2023)</w:t>
            </w:r>
          </w:p>
        </w:tc>
        <w:tc>
          <w:tcPr>
            <w:tcW w:w="693" w:type="dxa"/>
          </w:tcPr>
          <w:p w14:paraId="66ED50BB"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44</w:t>
            </w:r>
          </w:p>
        </w:tc>
      </w:tr>
      <w:tr w:rsidR="00590470" w:rsidRPr="004B1BB8" w14:paraId="02DE3077" w14:textId="77777777" w:rsidTr="00590470">
        <w:tc>
          <w:tcPr>
            <w:tcW w:w="8369" w:type="dxa"/>
          </w:tcPr>
          <w:p w14:paraId="44272F8D"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10 المقارنة بين تكلفة التوريق وتكلفة الاقتراض التقليدي</w:t>
            </w:r>
          </w:p>
        </w:tc>
        <w:tc>
          <w:tcPr>
            <w:tcW w:w="693" w:type="dxa"/>
          </w:tcPr>
          <w:p w14:paraId="2E580C57"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46</w:t>
            </w:r>
          </w:p>
        </w:tc>
      </w:tr>
      <w:tr w:rsidR="00590470" w:rsidRPr="004B1BB8" w14:paraId="156CF748" w14:textId="77777777" w:rsidTr="00590470">
        <w:tc>
          <w:tcPr>
            <w:tcW w:w="8369" w:type="dxa"/>
          </w:tcPr>
          <w:p w14:paraId="20F5E3F4"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lastRenderedPageBreak/>
              <w:t>جدول رقم 11 تطوّر مؤشرات مخاطر الائتمان في البنك الأهلي السعودي (2019–2023)</w:t>
            </w:r>
          </w:p>
        </w:tc>
        <w:tc>
          <w:tcPr>
            <w:tcW w:w="693" w:type="dxa"/>
          </w:tcPr>
          <w:p w14:paraId="1436CD41"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47</w:t>
            </w:r>
          </w:p>
        </w:tc>
      </w:tr>
      <w:tr w:rsidR="00590470" w:rsidRPr="004B1BB8" w14:paraId="219BE9BD" w14:textId="77777777" w:rsidTr="00590470">
        <w:tc>
          <w:tcPr>
            <w:tcW w:w="8369" w:type="dxa"/>
          </w:tcPr>
          <w:p w14:paraId="10572F45"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جدول رقم 12 تطوّر مؤشرات السيولة في البنك الأهلي السعودي (2019–2023)</w:t>
            </w:r>
          </w:p>
        </w:tc>
        <w:tc>
          <w:tcPr>
            <w:tcW w:w="693" w:type="dxa"/>
          </w:tcPr>
          <w:p w14:paraId="7BBD20B0"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lang w:bidi="ar-DZ"/>
              </w:rPr>
              <w:t>49</w:t>
            </w:r>
          </w:p>
        </w:tc>
      </w:tr>
      <w:tr w:rsidR="00590470" w:rsidRPr="004B1BB8" w14:paraId="0D691C81" w14:textId="77777777" w:rsidTr="00590470">
        <w:tc>
          <w:tcPr>
            <w:tcW w:w="8369" w:type="dxa"/>
          </w:tcPr>
          <w:p w14:paraId="7562BD6A" w14:textId="77777777" w:rsidR="00590470" w:rsidRPr="004B1BB8" w:rsidRDefault="00590470" w:rsidP="004B1BB8">
            <w:pPr>
              <w:bidi/>
              <w:rPr>
                <w:rFonts w:ascii="Traditional Arabic" w:cs="Traditional Arabic"/>
                <w:b/>
                <w:bCs/>
                <w:sz w:val="36"/>
                <w:szCs w:val="36"/>
                <w:rtl/>
                <w:lang w:bidi="ar-DZ"/>
              </w:rPr>
            </w:pPr>
            <w:r w:rsidRPr="004B1BB8">
              <w:rPr>
                <w:rFonts w:ascii="Traditional Arabic" w:cs="Traditional Arabic"/>
                <w:b/>
                <w:bCs/>
                <w:sz w:val="36"/>
                <w:szCs w:val="36"/>
                <w:rtl/>
                <w:lang w:bidi="ar-DZ"/>
              </w:rPr>
              <w:t>جدول رقم 13 ملخص المكاسب الاستراتيجية للبنك الأهلي السعودي من التوريق (2019–2023)</w:t>
            </w:r>
          </w:p>
        </w:tc>
        <w:tc>
          <w:tcPr>
            <w:tcW w:w="693" w:type="dxa"/>
          </w:tcPr>
          <w:p w14:paraId="68098FD4"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t>55</w:t>
            </w:r>
            <w:r w:rsidRPr="004B1BB8">
              <w:rPr>
                <w:rFonts w:ascii="Traditional Arabic" w:cs="Traditional Arabic"/>
                <w:b/>
                <w:bCs/>
                <w:sz w:val="36"/>
                <w:szCs w:val="36"/>
                <w:rtl/>
                <w:lang w:bidi="ar-DZ"/>
              </w:rPr>
              <w:fldChar w:fldCharType="begin"/>
            </w:r>
            <w:r w:rsidRPr="004B1BB8">
              <w:rPr>
                <w:rFonts w:ascii="Traditional Arabic" w:cs="Traditional Arabic"/>
                <w:b/>
                <w:bCs/>
                <w:sz w:val="36"/>
                <w:szCs w:val="36"/>
                <w:rtl/>
                <w:lang w:bidi="ar-DZ"/>
              </w:rPr>
              <w:instrText xml:space="preserve"> </w:instrText>
            </w:r>
            <w:r w:rsidRPr="004B1BB8">
              <w:rPr>
                <w:rFonts w:ascii="Traditional Arabic" w:cs="Traditional Arabic"/>
                <w:b/>
                <w:bCs/>
                <w:sz w:val="36"/>
                <w:szCs w:val="36"/>
                <w:lang w:bidi="ar-DZ"/>
              </w:rPr>
              <w:instrText>TOC</w:instrText>
            </w:r>
            <w:r w:rsidRPr="004B1BB8">
              <w:rPr>
                <w:rFonts w:ascii="Traditional Arabic" w:cs="Traditional Arabic"/>
                <w:b/>
                <w:bCs/>
                <w:sz w:val="36"/>
                <w:szCs w:val="36"/>
                <w:rtl/>
                <w:lang w:bidi="ar-DZ"/>
              </w:rPr>
              <w:instrText xml:space="preserve"> \</w:instrText>
            </w:r>
            <w:r w:rsidRPr="004B1BB8">
              <w:rPr>
                <w:rFonts w:ascii="Traditional Arabic" w:cs="Traditional Arabic"/>
                <w:b/>
                <w:bCs/>
                <w:sz w:val="36"/>
                <w:szCs w:val="36"/>
                <w:lang w:bidi="ar-DZ"/>
              </w:rPr>
              <w:instrText>h \z \c</w:instrText>
            </w:r>
            <w:r w:rsidRPr="004B1BB8">
              <w:rPr>
                <w:rFonts w:ascii="Traditional Arabic" w:cs="Traditional Arabic"/>
                <w:b/>
                <w:bCs/>
                <w:sz w:val="36"/>
                <w:szCs w:val="36"/>
                <w:rtl/>
                <w:lang w:bidi="ar-DZ"/>
              </w:rPr>
              <w:instrText xml:space="preserve"> "جدول رقم" </w:instrText>
            </w:r>
            <w:r w:rsidRPr="004B1BB8">
              <w:rPr>
                <w:rFonts w:ascii="Traditional Arabic" w:cs="Traditional Arabic"/>
                <w:b/>
                <w:bCs/>
                <w:sz w:val="36"/>
                <w:szCs w:val="36"/>
                <w:rtl/>
                <w:lang w:bidi="ar-DZ"/>
              </w:rPr>
              <w:fldChar w:fldCharType="separate"/>
            </w:r>
          </w:p>
          <w:p w14:paraId="51DFAFD3" w14:textId="77777777" w:rsidR="00590470" w:rsidRPr="004B1BB8" w:rsidRDefault="00590470" w:rsidP="004B1BB8">
            <w:pPr>
              <w:bidi/>
              <w:rPr>
                <w:rFonts w:ascii="Traditional Arabic" w:cs="Traditional Arabic"/>
                <w:b/>
                <w:bCs/>
                <w:sz w:val="36"/>
                <w:szCs w:val="36"/>
                <w:lang w:bidi="ar-DZ"/>
              </w:rPr>
            </w:pPr>
            <w:r w:rsidRPr="004B1BB8">
              <w:rPr>
                <w:rFonts w:ascii="Traditional Arabic" w:cs="Traditional Arabic"/>
                <w:b/>
                <w:bCs/>
                <w:sz w:val="36"/>
                <w:szCs w:val="36"/>
                <w:rtl/>
                <w:lang w:bidi="ar-DZ"/>
              </w:rPr>
              <w:fldChar w:fldCharType="end"/>
            </w:r>
          </w:p>
        </w:tc>
      </w:tr>
    </w:tbl>
    <w:p w14:paraId="7AF09F2A" w14:textId="3300F687" w:rsidR="00590470" w:rsidRPr="00590470" w:rsidRDefault="00590470" w:rsidP="00590470">
      <w:pPr>
        <w:bidi/>
        <w:spacing w:after="0" w:line="240" w:lineRule="auto"/>
        <w:outlineLvl w:val="0"/>
        <w:rPr>
          <w:rFonts w:ascii="Traditional Arabic" w:cs="Traditional Arabic"/>
          <w:sz w:val="32"/>
          <w:szCs w:val="32"/>
          <w:lang w:bidi="ar-DZ"/>
        </w:rPr>
      </w:pPr>
    </w:p>
    <w:p w14:paraId="39070AA9" w14:textId="77777777" w:rsidR="009F4C19" w:rsidRDefault="009F4C19" w:rsidP="004B1BB8">
      <w:pPr>
        <w:bidi/>
        <w:rPr>
          <w:rFonts w:ascii="Traditional Arabic" w:eastAsia="Times New Roman" w:hAnsi="Traditional Arabic" w:cs="Traditional Arabic"/>
          <w:b/>
          <w:bCs/>
          <w:kern w:val="36"/>
          <w:sz w:val="36"/>
          <w:szCs w:val="36"/>
          <w:rtl/>
        </w:rPr>
        <w:sectPr w:rsidR="009F4C19" w:rsidSect="009F79D5">
          <w:headerReference w:type="default" r:id="rId14"/>
          <w:footerReference w:type="default" r:id="rId15"/>
          <w:pgSz w:w="11906" w:h="16838"/>
          <w:pgMar w:top="1417" w:right="1417" w:bottom="1417" w:left="1417" w:header="708" w:footer="708" w:gutter="0"/>
          <w:pgNumType w:fmt="arabicAbjad" w:start="1"/>
          <w:cols w:space="708"/>
          <w:docGrid w:linePitch="360"/>
        </w:sectPr>
      </w:pPr>
    </w:p>
    <w:p w14:paraId="74C3AAE7" w14:textId="77777777" w:rsidR="009F4C19" w:rsidRDefault="009F4C19" w:rsidP="009F4C19">
      <w:pPr>
        <w:bidi/>
        <w:spacing w:before="100" w:beforeAutospacing="1" w:after="100" w:afterAutospacing="1" w:line="240" w:lineRule="auto"/>
        <w:jc w:val="center"/>
        <w:outlineLvl w:val="0"/>
        <w:rPr>
          <w:b/>
          <w:bCs/>
          <w:noProof/>
          <w:sz w:val="240"/>
          <w:szCs w:val="240"/>
          <w:rtl/>
        </w:rPr>
      </w:pPr>
    </w:p>
    <w:p w14:paraId="062AC90C" w14:textId="77777777" w:rsidR="009F4C19" w:rsidRDefault="009F4C19" w:rsidP="009F4C19">
      <w:pPr>
        <w:bidi/>
        <w:spacing w:before="100" w:beforeAutospacing="1" w:after="100" w:afterAutospacing="1" w:line="240" w:lineRule="auto"/>
        <w:jc w:val="center"/>
        <w:outlineLvl w:val="0"/>
        <w:rPr>
          <w:b/>
          <w:bCs/>
          <w:noProof/>
          <w:sz w:val="240"/>
          <w:szCs w:val="240"/>
          <w:rtl/>
        </w:rPr>
      </w:pPr>
    </w:p>
    <w:p w14:paraId="5E30D11B" w14:textId="11806837" w:rsidR="009F4C19" w:rsidRDefault="009F4C19" w:rsidP="009F4C19">
      <w:pPr>
        <w:bidi/>
        <w:spacing w:before="100" w:beforeAutospacing="1" w:after="100" w:afterAutospacing="1" w:line="240" w:lineRule="auto"/>
        <w:jc w:val="center"/>
        <w:outlineLvl w:val="0"/>
        <w:rPr>
          <w:rFonts w:ascii="Traditional Arabic" w:eastAsia="Times New Roman" w:hAnsi="Traditional Arabic" w:cs="Traditional Arabic"/>
          <w:b/>
          <w:bCs/>
          <w:kern w:val="36"/>
          <w:sz w:val="36"/>
          <w:szCs w:val="36"/>
          <w:rtl/>
        </w:rPr>
      </w:pPr>
      <w:r>
        <w:rPr>
          <w:rFonts w:hint="cs"/>
          <w:b/>
          <w:bCs/>
          <w:noProof/>
          <w:sz w:val="240"/>
          <w:szCs w:val="240"/>
          <w:rtl/>
        </w:rPr>
        <w:t>مقدمة</w:t>
      </w:r>
    </w:p>
    <w:p w14:paraId="010CEF5D" w14:textId="131C2012" w:rsidR="004B1BB8" w:rsidRDefault="004B1BB8" w:rsidP="004B1BB8">
      <w:pPr>
        <w:bidi/>
        <w:rPr>
          <w:rFonts w:ascii="Traditional Arabic" w:eastAsia="Times New Roman" w:hAnsi="Traditional Arabic" w:cs="Traditional Arabic"/>
          <w:b/>
          <w:bCs/>
          <w:kern w:val="36"/>
          <w:sz w:val="36"/>
          <w:szCs w:val="36"/>
          <w:rtl/>
        </w:rPr>
        <w:sectPr w:rsidR="004B1BB8" w:rsidSect="009F79D5">
          <w:pgSz w:w="11906" w:h="16838"/>
          <w:pgMar w:top="1417" w:right="1417" w:bottom="1417" w:left="1417" w:header="708" w:footer="708" w:gutter="0"/>
          <w:pgNumType w:fmt="arabicAbjad" w:start="1"/>
          <w:cols w:space="708"/>
          <w:docGrid w:linePitch="360"/>
        </w:sectPr>
      </w:pPr>
    </w:p>
    <w:p w14:paraId="26C81212" w14:textId="33ACA399" w:rsidR="00E60F58" w:rsidRPr="004B1BB8" w:rsidRDefault="00E60F58" w:rsidP="004B1BB8">
      <w:pPr>
        <w:bidi/>
        <w:rPr>
          <w:rFonts w:ascii="Traditional Arabic" w:cs="Traditional Arabic"/>
          <w:sz w:val="28"/>
          <w:szCs w:val="28"/>
        </w:rPr>
      </w:pPr>
      <w:r>
        <w:rPr>
          <w:rFonts w:ascii="Traditional Arabic" w:eastAsia="Times New Roman" w:hAnsi="Traditional Arabic" w:cs="Traditional Arabic"/>
          <w:b/>
          <w:bCs/>
          <w:kern w:val="36"/>
          <w:sz w:val="36"/>
          <w:szCs w:val="36"/>
          <w:rtl/>
        </w:rPr>
        <w:lastRenderedPageBreak/>
        <w:t>المقدمة العامة</w:t>
      </w:r>
    </w:p>
    <w:p w14:paraId="646A097D" w14:textId="77777777" w:rsidR="00E60F58" w:rsidRPr="00E50309" w:rsidRDefault="00E50309" w:rsidP="00540437">
      <w:pPr>
        <w:bidi/>
        <w:spacing w:after="0" w:line="240" w:lineRule="auto"/>
        <w:outlineLvl w:val="1"/>
        <w:rPr>
          <w:rFonts w:ascii="Traditional Arabic" w:eastAsia="Times New Roman" w:hAnsi="Traditional Arabic" w:cs="Traditional Arabic"/>
          <w:b/>
          <w:bCs/>
          <w:sz w:val="36"/>
          <w:szCs w:val="36"/>
        </w:rPr>
      </w:pPr>
      <w:r>
        <w:rPr>
          <w:rFonts w:ascii="Traditional Arabic" w:eastAsia="Times New Roman" w:hAnsi="Traditional Arabic" w:cs="Traditional Arabic" w:hint="cs"/>
          <w:b/>
          <w:bCs/>
          <w:sz w:val="36"/>
          <w:szCs w:val="36"/>
          <w:rtl/>
        </w:rPr>
        <w:t>1.</w:t>
      </w:r>
      <w:r>
        <w:rPr>
          <w:rFonts w:ascii="Traditional Arabic" w:eastAsia="Times New Roman" w:hAnsi="Traditional Arabic" w:cs="Traditional Arabic"/>
          <w:b/>
          <w:bCs/>
          <w:sz w:val="36"/>
          <w:szCs w:val="36"/>
        </w:rPr>
        <w:t xml:space="preserve"> </w:t>
      </w:r>
      <w:r>
        <w:rPr>
          <w:rFonts w:ascii="Traditional Arabic" w:eastAsia="Times New Roman" w:hAnsi="Traditional Arabic" w:cs="Traditional Arabic"/>
          <w:b/>
          <w:bCs/>
          <w:sz w:val="36"/>
          <w:szCs w:val="36"/>
          <w:rtl/>
        </w:rPr>
        <w:t>التوطئة</w:t>
      </w:r>
    </w:p>
    <w:p w14:paraId="52FAEF27" w14:textId="77777777" w:rsidR="003B30B5" w:rsidRPr="003B30B5" w:rsidRDefault="003B30B5" w:rsidP="00540437">
      <w:pPr>
        <w:bidi/>
        <w:spacing w:after="0" w:line="240" w:lineRule="auto"/>
        <w:ind w:firstLine="720"/>
        <w:outlineLvl w:val="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يمرّ القطاع المصرفي العالمي بتحولات عميقة ومتسارعة نتيجة التطور الهائل في الأدوات المالية، وتنامي حجم المعاملات، وتزايد مستويات المخاطر التي تواجه البنوك في ظل العولمة المالية والانفتاح الاقتصادي. فقد أصبحت المؤسسات المصرفية اليوم مطالبة أكثر من أيّ وقت مضى بتبنّي آليات حديثة وابتكارية لإدارة مخاطرها وتحسين جودة أصولها وتعزيز ملاءتها المالية، بما يتماشى مع المتطلبات الصارمة التي أقرّتها المعايير الدولية وعلى رأسها اتفاقيات بازل بمختلف إصداراتها. وفي خضم هذه المتغيرات، برز نظام التوريق باعتباره أحد أهم مخرجات الهندسة المالية، وأحد أكثر الأساليب فعالية في تحويل الأصول غير السائلة إلى موارد سيولة فورية، من خلال إعادة هيكلة الأصول الائتمانية وتحويلها إلى أوراق مالية قابلة للتداول في أسواق رأس المال</w:t>
      </w:r>
      <w:r>
        <w:rPr>
          <w:rFonts w:ascii="Traditional Arabic" w:eastAsia="Times New Roman" w:hAnsi="Traditional Arabic" w:cs="Traditional Arabic"/>
          <w:sz w:val="32"/>
          <w:szCs w:val="32"/>
        </w:rPr>
        <w:t>.</w:t>
      </w:r>
    </w:p>
    <w:p w14:paraId="7FB596D6" w14:textId="77777777" w:rsidR="003B30B5" w:rsidRPr="003B30B5" w:rsidRDefault="003B30B5" w:rsidP="00540437">
      <w:pPr>
        <w:bidi/>
        <w:spacing w:after="0" w:line="240" w:lineRule="auto"/>
        <w:ind w:firstLine="720"/>
        <w:outlineLvl w:val="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ويكتسي التوريق أهمية خاصة باعتباره آلية تجمع بين التمويل وإدارة المخاطر ضمن إطار واحد، حيث يسمح للبنوك بالتخلص من جزء من المخاطر المرتبطة بمحافظها، وتحسين نسب السيولة، وتخفيف أعباء رأس المال، وتعزيز قدرتها على مواجهة التغيرات المفاجئة في الأسواق. كما يساهم في توسيع قاعدة التمويل من خلال ربط البنوك مباشرة بأسواق رأس المال، وتقليص الاعتماد على مصادر التمويل التقليدية قصيرة الأجل. وقد أثبتت التجربة الدولية أنّ التوريق، عند تطبيقه وفق ضوابط دقيقة وقواعد تنظيمية واضحة، يشكّل أداة فعّالة لتعزيز الاستقرار المالي والحدّ من الأزمات المصرفية، في حين قد يؤدي سوء استخدامه أو ضعف الرقابة على مراحله إلى نتائج عكسية خطيرة كما حدث في الأزمة المالية العالمية لسنة 2008</w:t>
      </w:r>
      <w:r>
        <w:rPr>
          <w:rFonts w:ascii="Traditional Arabic" w:eastAsia="Times New Roman" w:hAnsi="Traditional Arabic" w:cs="Traditional Arabic"/>
          <w:sz w:val="32"/>
          <w:szCs w:val="32"/>
        </w:rPr>
        <w:t>.</w:t>
      </w:r>
    </w:p>
    <w:p w14:paraId="7468909E" w14:textId="77777777" w:rsidR="003B30B5" w:rsidRPr="003B30B5" w:rsidRDefault="003B30B5" w:rsidP="00540437">
      <w:pPr>
        <w:bidi/>
        <w:spacing w:after="0" w:line="240" w:lineRule="auto"/>
        <w:ind w:firstLine="720"/>
        <w:outlineLvl w:val="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وفي العالم العربي، بدأت العديد من البنوك في السنوات الأخيرة تتجه نحو تطبيق آليات الهندسة المالية الحديثة، ومنها التوريق، بهدف تطوير القطاع المالي وتحقيق انسجام أكبر مع المعايير الدولية. ويُعدّ البنك الأهلي السعودي من بين المؤسسات التي تبنّت هذا التوجّه، إذ سعى إلى الاستفادة من مزايا التوريق لتحسين سيولته، وتنويع مصادر تمويله، وإدارة مخاطر الائتمان بشكل أكثر كفاءة، خاصة مع التوسع الكبير الذي يشهده السوق المصرفي السعودي، وتزايد الطلب على المنتجات المالية المتطورة، واتساع نطاق المبادرات الاقتصادية الداعمة لرؤية المملكة 2030</w:t>
      </w:r>
      <w:r>
        <w:rPr>
          <w:rFonts w:ascii="Traditional Arabic" w:eastAsia="Times New Roman" w:hAnsi="Traditional Arabic" w:cs="Traditional Arabic"/>
          <w:sz w:val="32"/>
          <w:szCs w:val="32"/>
        </w:rPr>
        <w:t>.</w:t>
      </w:r>
    </w:p>
    <w:p w14:paraId="6A80E76B" w14:textId="77777777" w:rsidR="003B30B5" w:rsidRPr="003B30B5" w:rsidRDefault="003B30B5" w:rsidP="00540437">
      <w:pPr>
        <w:bidi/>
        <w:spacing w:after="0" w:line="240" w:lineRule="auto"/>
        <w:ind w:firstLine="720"/>
        <w:outlineLvl w:val="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وانطلاقًا من هذه التطورات، جاءت هذه الدراسة لتسليط الضوء على التوريق كآلية لإدارة المخاطر المصرفية</w:t>
      </w:r>
      <w:r>
        <w:rPr>
          <w:rFonts w:ascii="Traditional Arabic" w:eastAsia="Times New Roman" w:hAnsi="Traditional Arabic" w:cs="Traditional Arabic"/>
          <w:b/>
          <w:bCs/>
          <w:sz w:val="32"/>
          <w:szCs w:val="32"/>
          <w:rtl/>
        </w:rPr>
        <w:t>،</w:t>
      </w:r>
      <w:r>
        <w:rPr>
          <w:rFonts w:ascii="Traditional Arabic" w:eastAsia="Times New Roman" w:hAnsi="Traditional Arabic" w:cs="Traditional Arabic"/>
          <w:sz w:val="32"/>
          <w:szCs w:val="32"/>
          <w:rtl/>
        </w:rPr>
        <w:t xml:space="preserve"> من خلال تقديم إطار نظري شامل يوضح مفهوم التوريق، وأنواعه، وخصائصه، ومراحل تنفيذه، إضافة إلى تحليل الدور الذي يلعبه في الحد من مختلف أنواع المخاطر المصرفية. كما تسعى إلى دراسة التطبيق العملي لهذه الآلية من خلال دراسة حالة البنك الأهلي السعودي بهدف استكشاف مدى فعالية هذه الأداة في البيئة المصرفية السعودية، وتحديد الانعكاسات المباشرة وغير المباشرة لاعتمادها على أداء البنك واستقراره المالي</w:t>
      </w:r>
      <w:r>
        <w:rPr>
          <w:rFonts w:ascii="Traditional Arabic" w:eastAsia="Times New Roman" w:hAnsi="Traditional Arabic" w:cs="Traditional Arabic"/>
          <w:sz w:val="32"/>
          <w:szCs w:val="32"/>
        </w:rPr>
        <w:t>.</w:t>
      </w:r>
    </w:p>
    <w:p w14:paraId="6E3AF4F8" w14:textId="77777777" w:rsidR="00E60F58" w:rsidRPr="00E50309" w:rsidRDefault="00E50309" w:rsidP="00540437">
      <w:pPr>
        <w:bidi/>
        <w:spacing w:before="100" w:beforeAutospacing="1" w:after="100" w:afterAutospacing="1" w:line="240" w:lineRule="auto"/>
        <w:outlineLvl w:val="1"/>
        <w:rPr>
          <w:rFonts w:ascii="Traditional Arabic" w:eastAsia="Times New Roman" w:hAnsi="Traditional Arabic" w:cs="Traditional Arabic"/>
          <w:b/>
          <w:bCs/>
          <w:sz w:val="36"/>
          <w:szCs w:val="36"/>
          <w:rtl/>
        </w:rPr>
      </w:pPr>
      <w:r>
        <w:rPr>
          <w:rFonts w:ascii="Traditional Arabic" w:eastAsia="Times New Roman" w:hAnsi="Traditional Arabic" w:cs="Traditional Arabic" w:hint="cs"/>
          <w:b/>
          <w:bCs/>
          <w:sz w:val="36"/>
          <w:szCs w:val="36"/>
          <w:rtl/>
        </w:rPr>
        <w:lastRenderedPageBreak/>
        <w:t>2.</w:t>
      </w:r>
      <w:r>
        <w:rPr>
          <w:rFonts w:ascii="Traditional Arabic" w:eastAsia="Times New Roman" w:hAnsi="Traditional Arabic" w:cs="Traditional Arabic"/>
          <w:b/>
          <w:bCs/>
          <w:sz w:val="36"/>
          <w:szCs w:val="36"/>
        </w:rPr>
        <w:t xml:space="preserve"> </w:t>
      </w:r>
      <w:r>
        <w:rPr>
          <w:rFonts w:ascii="Traditional Arabic" w:eastAsia="Times New Roman" w:hAnsi="Traditional Arabic" w:cs="Traditional Arabic"/>
          <w:b/>
          <w:bCs/>
          <w:sz w:val="36"/>
          <w:szCs w:val="36"/>
          <w:rtl/>
        </w:rPr>
        <w:t>طرح الإشكالية</w:t>
      </w:r>
    </w:p>
    <w:p w14:paraId="66D4CD05" w14:textId="77777777" w:rsidR="00E60F58" w:rsidRPr="00E60F58" w:rsidRDefault="00E60F58" w:rsidP="00540437">
      <w:pPr>
        <w:bidi/>
        <w:spacing w:before="100" w:beforeAutospacing="1" w:after="100" w:afterAutospacing="1" w:line="240" w:lineRule="auto"/>
        <w:ind w:firstLine="720"/>
        <w:outlineLvl w:val="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يواجه القطاع المصرفي اليوم تحديات متنامية تتعلق بإدارة المخاطر في ظل تشديد المعايير الدولية، لا سيما اتفاقيات بازل، وتزايد حدة المخاطر الائتمانية ومخاطر السيولة. وفي هذا الإطار، برز التوريق المصرفي أداةً مالية مبتكرة تُمكّن البنوك من تحويل أصولها غير السائلة إلى أوراق مالية قابلة للتداول، مما يُسهم في إعادة هيكلة الميزانية وتحسين مؤشرات السلامة المالية. وقد أثبتت تجارب دولية رائدة، كتجربة البنك الأهلي السعودي، نجاعة هذه الآلية في تخفيف المخاطر ورفع كفاءة رأس المال، مما يستدعي دراسةً أعمق لمدى مساهمتها الفعلية في تحسين إدارة المخاطر المصرفية.</w:t>
      </w:r>
      <w:r>
        <w:rPr>
          <w:rFonts w:ascii="Traditional Arabic" w:eastAsia="Times New Roman" w:hAnsi="Traditional Arabic" w:cs="Traditional Arabic"/>
          <w:sz w:val="32"/>
          <w:szCs w:val="32"/>
        </w:rPr>
        <w:t>.</w:t>
      </w:r>
    </w:p>
    <w:p w14:paraId="0CCA2DA2" w14:textId="77777777" w:rsidR="00E60F58" w:rsidRPr="00E60F58" w:rsidRDefault="00E60F58" w:rsidP="00540437">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انطلاقًا مما سبق، يمكن صياغة </w:t>
      </w:r>
      <w:proofErr w:type="gramStart"/>
      <w:r>
        <w:rPr>
          <w:rFonts w:ascii="Traditional Arabic" w:eastAsia="Times New Roman" w:hAnsi="Traditional Arabic" w:cs="Traditional Arabic"/>
          <w:sz w:val="32"/>
          <w:szCs w:val="32"/>
          <w:rtl/>
        </w:rPr>
        <w:t>الإشكالية</w:t>
      </w:r>
      <w:r>
        <w:rPr>
          <w:rFonts w:ascii="Traditional Arabic" w:eastAsia="Times New Roman" w:hAnsi="Traditional Arabic" w:cs="Traditional Arabic" w:hint="cs"/>
          <w:sz w:val="32"/>
          <w:szCs w:val="32"/>
          <w:rtl/>
        </w:rPr>
        <w:t xml:space="preserve"> </w:t>
      </w:r>
      <w:r>
        <w:rPr>
          <w:rFonts w:ascii="Traditional Arabic" w:eastAsia="Times New Roman" w:hAnsi="Traditional Arabic" w:cs="Traditional Arabic"/>
          <w:sz w:val="32"/>
          <w:szCs w:val="32"/>
          <w:rtl/>
        </w:rPr>
        <w:t xml:space="preserve"> كما</w:t>
      </w:r>
      <w:proofErr w:type="gramEnd"/>
      <w:r>
        <w:rPr>
          <w:rFonts w:ascii="Traditional Arabic" w:eastAsia="Times New Roman" w:hAnsi="Traditional Arabic" w:cs="Traditional Arabic"/>
          <w:sz w:val="32"/>
          <w:szCs w:val="32"/>
          <w:rtl/>
        </w:rPr>
        <w:t xml:space="preserve"> يلي</w:t>
      </w:r>
      <w:r>
        <w:rPr>
          <w:rFonts w:ascii="Traditional Arabic" w:eastAsia="Times New Roman" w:hAnsi="Traditional Arabic" w:cs="Traditional Arabic"/>
          <w:sz w:val="32"/>
          <w:szCs w:val="32"/>
        </w:rPr>
        <w:t>:</w:t>
      </w:r>
    </w:p>
    <w:p w14:paraId="43455A25" w14:textId="77777777" w:rsidR="00E60F58" w:rsidRPr="00E60F58" w:rsidRDefault="00E60F58" w:rsidP="00540437">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إلى أي مدى يساهم التوريق في تحسين إدارة المخاطر المصرفية؟</w:t>
      </w:r>
    </w:p>
    <w:p w14:paraId="56A0236B" w14:textId="77777777" w:rsidR="00E60F58" w:rsidRPr="00E60F58" w:rsidRDefault="00E50309" w:rsidP="00540437">
      <w:pPr>
        <w:bidi/>
        <w:spacing w:before="100" w:beforeAutospacing="1" w:after="100" w:afterAutospacing="1" w:line="240" w:lineRule="auto"/>
        <w:outlineLvl w:val="1"/>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3.</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الأسئلة الفرعية</w:t>
      </w:r>
    </w:p>
    <w:p w14:paraId="587BA1E0" w14:textId="77777777" w:rsidR="00E60F58" w:rsidRPr="00E60F58" w:rsidRDefault="00E60F58" w:rsidP="00540437">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تتفرع عن الإشكالية الأسئلة الآتية</w:t>
      </w:r>
      <w:r>
        <w:rPr>
          <w:rFonts w:ascii="Traditional Arabic" w:eastAsia="Times New Roman" w:hAnsi="Traditional Arabic" w:cs="Traditional Arabic"/>
          <w:sz w:val="32"/>
          <w:szCs w:val="32"/>
        </w:rPr>
        <w:t>:</w:t>
      </w:r>
    </w:p>
    <w:p w14:paraId="19FDFEB2" w14:textId="77777777" w:rsidR="00E60F58" w:rsidRPr="00E60F58" w:rsidRDefault="00E60F58" w:rsidP="00540437">
      <w:pPr>
        <w:numPr>
          <w:ilvl w:val="0"/>
          <w:numId w:val="1"/>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كيف يُسهم التوريق المصرفي في تحسين إدارة المخاطر الائتمانية للبنوك؟ </w:t>
      </w:r>
    </w:p>
    <w:p w14:paraId="4020B0DB" w14:textId="77777777" w:rsidR="00E60F58" w:rsidRPr="00E60F58" w:rsidRDefault="00E60F58" w:rsidP="00540437">
      <w:pPr>
        <w:numPr>
          <w:ilvl w:val="0"/>
          <w:numId w:val="1"/>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ما دور التوريق في تعزيز مستويات السيولة وتخفيف مخاطرها في البنوك؟ </w:t>
      </w:r>
    </w:p>
    <w:p w14:paraId="412D9242" w14:textId="77777777" w:rsidR="00E60F58" w:rsidRPr="00E60F58" w:rsidRDefault="00E60F58" w:rsidP="00540437">
      <w:pPr>
        <w:numPr>
          <w:ilvl w:val="0"/>
          <w:numId w:val="1"/>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كيف يُساهم التوريق في تحسين نسبة كفاية رأس المال والامتثال لمتطلبات بازل في إطار إدارة المخاطر المصرفية؟ </w:t>
      </w:r>
    </w:p>
    <w:p w14:paraId="0C50B982" w14:textId="77777777" w:rsidR="00E60F58" w:rsidRPr="00E60F58" w:rsidRDefault="00E60F58" w:rsidP="00540437">
      <w:pPr>
        <w:numPr>
          <w:ilvl w:val="0"/>
          <w:numId w:val="1"/>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ما أثر التوريق على إدارة مخاطر السوق ومخاطر التشغيل في البنوك التجارية؟ </w:t>
      </w:r>
    </w:p>
    <w:p w14:paraId="0FE9674D" w14:textId="77777777" w:rsidR="00E60F58" w:rsidRPr="00E60F58" w:rsidRDefault="00E60F58" w:rsidP="00540437">
      <w:pPr>
        <w:numPr>
          <w:ilvl w:val="0"/>
          <w:numId w:val="1"/>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كيف تجلّت إسهامات التوريق في إدارة المخاطر المصرفية في تجربة البنك الأهلي السعودي؟ </w:t>
      </w:r>
    </w:p>
    <w:p w14:paraId="082CBBDC" w14:textId="77777777" w:rsidR="00E60F58" w:rsidRPr="00E60F58" w:rsidRDefault="00E50309" w:rsidP="00540437">
      <w:pPr>
        <w:bidi/>
        <w:spacing w:before="100" w:beforeAutospacing="1" w:after="100" w:afterAutospacing="1" w:line="240" w:lineRule="auto"/>
        <w:outlineLvl w:val="1"/>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4.</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فرضيات الدراسة</w:t>
      </w:r>
    </w:p>
    <w:p w14:paraId="372F93F4" w14:textId="77777777" w:rsidR="00E60F58" w:rsidRPr="00E60F58" w:rsidRDefault="00E60F58" w:rsidP="00540437">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بناءً على الإشكالية والأسئلة الفرعية، نفترض ما يلي</w:t>
      </w:r>
      <w:r>
        <w:rPr>
          <w:rFonts w:ascii="Traditional Arabic" w:eastAsia="Times New Roman" w:hAnsi="Traditional Arabic" w:cs="Traditional Arabic"/>
          <w:sz w:val="32"/>
          <w:szCs w:val="32"/>
        </w:rPr>
        <w:t>:</w:t>
      </w:r>
    </w:p>
    <w:p w14:paraId="374BD7D9" w14:textId="77777777" w:rsidR="00E60F58" w:rsidRPr="00E60F58" w:rsidRDefault="00E60F58" w:rsidP="00540437">
      <w:pPr>
        <w:numPr>
          <w:ilvl w:val="0"/>
          <w:numId w:val="2"/>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الفرضية الأولى</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يقوم التوريق المصرفي على أسس مالية وقانونية تهدف إلى تحويل الأصول الائتمانية إلى أدوات مالية قابلة للتداول</w:t>
      </w:r>
      <w:r>
        <w:rPr>
          <w:rFonts w:ascii="Traditional Arabic" w:eastAsia="Times New Roman" w:hAnsi="Traditional Arabic" w:cs="Traditional Arabic"/>
          <w:sz w:val="32"/>
          <w:szCs w:val="32"/>
        </w:rPr>
        <w:t xml:space="preserve">. </w:t>
      </w:r>
    </w:p>
    <w:p w14:paraId="73A4825C" w14:textId="77777777" w:rsidR="00E60F58" w:rsidRPr="00E60F58" w:rsidRDefault="00E60F58" w:rsidP="00540437">
      <w:pPr>
        <w:numPr>
          <w:ilvl w:val="0"/>
          <w:numId w:val="2"/>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الفرضية الثانية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تعتمد فعالية عمليات التوريق على وجود إطار قانوني وتنظيمي متكامل يسمح بإنشاء شركات ذات غرض خاص وتداول الأوراق المالية المضمونة بالأصول</w:t>
      </w:r>
      <w:r>
        <w:rPr>
          <w:rFonts w:ascii="Traditional Arabic" w:eastAsia="Times New Roman" w:hAnsi="Traditional Arabic" w:cs="Traditional Arabic"/>
          <w:sz w:val="32"/>
          <w:szCs w:val="32"/>
        </w:rPr>
        <w:t xml:space="preserve">. </w:t>
      </w:r>
    </w:p>
    <w:p w14:paraId="0929FE28" w14:textId="77777777" w:rsidR="00E60F58" w:rsidRPr="00E60F58" w:rsidRDefault="00E60F58" w:rsidP="00540437">
      <w:pPr>
        <w:numPr>
          <w:ilvl w:val="0"/>
          <w:numId w:val="2"/>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lastRenderedPageBreak/>
        <w:t>الفرضية الثالثة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تتمتع الدول المتقدمة بنماذج ناضجة في التوريق بفضل وجود أسواق مالية قوية وقوانين متطورة</w:t>
      </w:r>
      <w:r>
        <w:rPr>
          <w:rFonts w:ascii="Traditional Arabic" w:eastAsia="Times New Roman" w:hAnsi="Traditional Arabic" w:cs="Traditional Arabic"/>
          <w:sz w:val="32"/>
          <w:szCs w:val="32"/>
        </w:rPr>
        <w:t xml:space="preserve">. </w:t>
      </w:r>
    </w:p>
    <w:p w14:paraId="2B080C64" w14:textId="77777777" w:rsidR="00E60F58" w:rsidRDefault="00E60F58" w:rsidP="00540437">
      <w:pPr>
        <w:numPr>
          <w:ilvl w:val="0"/>
          <w:numId w:val="2"/>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الفرضية الرابعة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يمكن للجزائر الاستفادة من التوريق المصرفي للديون، شريطة تطوير الإطار التشريعي وتفعيل السوق المالية وتحديث الأدوات المصرفية</w:t>
      </w:r>
      <w:r>
        <w:rPr>
          <w:rFonts w:ascii="Traditional Arabic" w:eastAsia="Times New Roman" w:hAnsi="Traditional Arabic" w:cs="Traditional Arabic"/>
          <w:sz w:val="32"/>
          <w:szCs w:val="32"/>
        </w:rPr>
        <w:t xml:space="preserve">. </w:t>
      </w:r>
    </w:p>
    <w:p w14:paraId="6ED01338" w14:textId="77777777" w:rsidR="00B04453" w:rsidRDefault="00B04453" w:rsidP="00540437">
      <w:pPr>
        <w:bidi/>
        <w:spacing w:before="100" w:beforeAutospacing="1" w:after="100" w:afterAutospacing="1" w:line="240" w:lineRule="auto"/>
        <w:rPr>
          <w:rFonts w:ascii="Traditional Arabic" w:eastAsia="Times New Roman" w:hAnsi="Traditional Arabic" w:cs="Traditional Arabic"/>
          <w:sz w:val="32"/>
          <w:szCs w:val="32"/>
        </w:rPr>
      </w:pPr>
    </w:p>
    <w:p w14:paraId="3F7E42B4" w14:textId="77777777" w:rsidR="00E60F58" w:rsidRPr="00E60F58" w:rsidRDefault="00E50309" w:rsidP="00540437">
      <w:pPr>
        <w:bidi/>
        <w:spacing w:before="100" w:beforeAutospacing="1" w:after="100" w:afterAutospacing="1" w:line="240" w:lineRule="auto"/>
        <w:outlineLvl w:val="1"/>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5.</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أهداف الدراسة</w:t>
      </w:r>
    </w:p>
    <w:p w14:paraId="69D1DADD" w14:textId="77777777" w:rsidR="00E60F58" w:rsidRPr="00E60F58" w:rsidRDefault="00E60F58" w:rsidP="00540437">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تهدف هذه الدراسة إلى</w:t>
      </w:r>
      <w:r>
        <w:rPr>
          <w:rFonts w:ascii="Traditional Arabic" w:eastAsia="Times New Roman" w:hAnsi="Traditional Arabic" w:cs="Traditional Arabic"/>
          <w:sz w:val="32"/>
          <w:szCs w:val="32"/>
        </w:rPr>
        <w:t>:</w:t>
      </w:r>
    </w:p>
    <w:p w14:paraId="32C64A92" w14:textId="77777777" w:rsidR="00E60F58" w:rsidRPr="00E60F58" w:rsidRDefault="00E60F58" w:rsidP="00540437">
      <w:pPr>
        <w:numPr>
          <w:ilvl w:val="0"/>
          <w:numId w:val="3"/>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توضيح الإطار النظري لعمليات التوريق المصرفي</w:t>
      </w:r>
      <w:r>
        <w:rPr>
          <w:rFonts w:ascii="Traditional Arabic" w:eastAsia="Times New Roman" w:hAnsi="Traditional Arabic" w:cs="Traditional Arabic"/>
          <w:sz w:val="32"/>
          <w:szCs w:val="32"/>
        </w:rPr>
        <w:t xml:space="preserve">. </w:t>
      </w:r>
    </w:p>
    <w:p w14:paraId="7C27874C" w14:textId="77777777" w:rsidR="00E60F58" w:rsidRPr="00E60F58" w:rsidRDefault="00E60F58" w:rsidP="00524B6F">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تحليل آليات وأطراف عملية التوريق</w:t>
      </w:r>
      <w:r>
        <w:rPr>
          <w:rFonts w:ascii="Traditional Arabic" w:eastAsia="Times New Roman" w:hAnsi="Traditional Arabic" w:cs="Traditional Arabic"/>
          <w:sz w:val="32"/>
          <w:szCs w:val="32"/>
        </w:rPr>
        <w:t xml:space="preserve">. </w:t>
      </w:r>
    </w:p>
    <w:p w14:paraId="137E5AA9" w14:textId="77777777" w:rsidR="00E60F58" w:rsidRPr="00E60F58" w:rsidRDefault="00E60F58" w:rsidP="00524B6F">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دراسة الإطار القانوني المنظم للتوريق في التجارب الدولية</w:t>
      </w:r>
      <w:r>
        <w:rPr>
          <w:rFonts w:ascii="Traditional Arabic" w:eastAsia="Times New Roman" w:hAnsi="Traditional Arabic" w:cs="Traditional Arabic"/>
          <w:sz w:val="32"/>
          <w:szCs w:val="32"/>
        </w:rPr>
        <w:t xml:space="preserve">. </w:t>
      </w:r>
    </w:p>
    <w:p w14:paraId="7168B62C" w14:textId="77777777" w:rsidR="00E60F58" w:rsidRPr="00E60F58" w:rsidRDefault="00E60F58" w:rsidP="00524B6F">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تقييم مدى نجاعة التوريق في تحسين إدارة المخاطر المصرفية في تجربة البنك الأهلي السعودي</w:t>
      </w:r>
      <w:r>
        <w:rPr>
          <w:rFonts w:ascii="Traditional Arabic" w:eastAsia="Times New Roman" w:hAnsi="Traditional Arabic" w:cs="Traditional Arabic"/>
          <w:sz w:val="32"/>
          <w:szCs w:val="32"/>
        </w:rPr>
        <w:t xml:space="preserve">. </w:t>
      </w:r>
    </w:p>
    <w:p w14:paraId="59219957" w14:textId="77777777" w:rsidR="00E60F58" w:rsidRPr="00E60F58" w:rsidRDefault="00E60F58" w:rsidP="00524B6F">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استخلاص الدروس والتوصيات من التجربة التطبيقية للبنك الأهلي السعودي لتعزيز إدارة المخاطر المصرفية</w:t>
      </w:r>
      <w:r>
        <w:rPr>
          <w:rFonts w:ascii="Traditional Arabic" w:eastAsia="Times New Roman" w:hAnsi="Traditional Arabic" w:cs="Traditional Arabic"/>
          <w:sz w:val="32"/>
          <w:szCs w:val="32"/>
        </w:rPr>
        <w:t xml:space="preserve">. </w:t>
      </w:r>
    </w:p>
    <w:p w14:paraId="7904730C" w14:textId="77777777" w:rsidR="00E60F58" w:rsidRPr="00E60F58" w:rsidRDefault="00E50309" w:rsidP="00540437">
      <w:pPr>
        <w:bidi/>
        <w:spacing w:before="100" w:beforeAutospacing="1" w:after="100" w:afterAutospacing="1" w:line="240" w:lineRule="auto"/>
        <w:outlineLvl w:val="1"/>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6.</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أهمية الدراسة</w:t>
      </w:r>
    </w:p>
    <w:p w14:paraId="3ABE8866" w14:textId="77777777" w:rsidR="00E60F58" w:rsidRPr="00E60F58" w:rsidRDefault="00E60F58" w:rsidP="00540437">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تتجلى أهمية هذه الدراسة في</w:t>
      </w:r>
      <w:r>
        <w:rPr>
          <w:rFonts w:ascii="Traditional Arabic" w:eastAsia="Times New Roman" w:hAnsi="Traditional Arabic" w:cs="Traditional Arabic"/>
          <w:sz w:val="32"/>
          <w:szCs w:val="32"/>
        </w:rPr>
        <w:t>:</w:t>
      </w:r>
    </w:p>
    <w:p w14:paraId="3A838068" w14:textId="77777777" w:rsidR="00E60F58" w:rsidRPr="00E60F58" w:rsidRDefault="00E60F58" w:rsidP="00540437">
      <w:pPr>
        <w:numPr>
          <w:ilvl w:val="0"/>
          <w:numId w:val="4"/>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أهمية نظرية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إثراء الأدبيات العربية حول موضوع التوريق وإدارة المخاطر المصرفية وإضافة قيمة علمية في هذا المجال</w:t>
      </w:r>
      <w:r>
        <w:rPr>
          <w:rFonts w:ascii="Traditional Arabic" w:eastAsia="Times New Roman" w:hAnsi="Traditional Arabic" w:cs="Traditional Arabic"/>
          <w:sz w:val="32"/>
          <w:szCs w:val="32"/>
        </w:rPr>
        <w:t xml:space="preserve">. </w:t>
      </w:r>
    </w:p>
    <w:p w14:paraId="61E1D6F8" w14:textId="77777777" w:rsidR="00E60F58" w:rsidRPr="00E60F58" w:rsidRDefault="00E60F58" w:rsidP="00540437">
      <w:pPr>
        <w:numPr>
          <w:ilvl w:val="0"/>
          <w:numId w:val="4"/>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أهمية تطبيقية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إبراز إمكانية اعتماد التوريق كآلية لتعزيز السيولة لدى البنوك وتحسين إدارة مخاطرها الائتمانية</w:t>
      </w:r>
      <w:r>
        <w:rPr>
          <w:rFonts w:ascii="Traditional Arabic" w:eastAsia="Times New Roman" w:hAnsi="Traditional Arabic" w:cs="Traditional Arabic"/>
          <w:sz w:val="32"/>
          <w:szCs w:val="32"/>
        </w:rPr>
        <w:t xml:space="preserve">. </w:t>
      </w:r>
    </w:p>
    <w:p w14:paraId="3000C2FC" w14:textId="77777777" w:rsidR="00E60F58" w:rsidRPr="00E60F58" w:rsidRDefault="00E60F58" w:rsidP="00540437">
      <w:pPr>
        <w:numPr>
          <w:ilvl w:val="0"/>
          <w:numId w:val="4"/>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أهمية علمية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تقديم نموذج بحثي يساعد الطلبة والباحثين في مجالات المالية والمصرفية على فهم التقنية وتطبيقاتها</w:t>
      </w:r>
      <w:r>
        <w:rPr>
          <w:rFonts w:ascii="Traditional Arabic" w:eastAsia="Times New Roman" w:hAnsi="Traditional Arabic" w:cs="Traditional Arabic"/>
          <w:sz w:val="32"/>
          <w:szCs w:val="32"/>
        </w:rPr>
        <w:t xml:space="preserve">. </w:t>
      </w:r>
    </w:p>
    <w:p w14:paraId="2844FDB0" w14:textId="54CC30CD" w:rsidR="00E60F58" w:rsidRDefault="00E60F58" w:rsidP="00540437">
      <w:pPr>
        <w:numPr>
          <w:ilvl w:val="0"/>
          <w:numId w:val="4"/>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أهمية اقتصادية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اقتراح حلول تمويلية مبتكرة تساهم في دعم جهود الإصلاح المصرفي وتطوير أدوات إدارة المخاطر</w:t>
      </w:r>
      <w:r>
        <w:rPr>
          <w:rFonts w:ascii="Traditional Arabic" w:eastAsia="Times New Roman" w:hAnsi="Traditional Arabic" w:cs="Traditional Arabic"/>
          <w:sz w:val="32"/>
          <w:szCs w:val="32"/>
        </w:rPr>
        <w:t xml:space="preserve">. </w:t>
      </w:r>
    </w:p>
    <w:p w14:paraId="38791D23" w14:textId="195F9A70" w:rsidR="00242401" w:rsidRDefault="00242401" w:rsidP="00242401">
      <w:pPr>
        <w:bidi/>
        <w:spacing w:before="100" w:beforeAutospacing="1" w:after="100" w:afterAutospacing="1" w:line="240" w:lineRule="auto"/>
        <w:rPr>
          <w:rFonts w:ascii="Traditional Arabic" w:eastAsia="Times New Roman" w:hAnsi="Traditional Arabic" w:cs="Traditional Arabic"/>
          <w:sz w:val="32"/>
          <w:szCs w:val="32"/>
        </w:rPr>
      </w:pPr>
    </w:p>
    <w:p w14:paraId="03B4828C" w14:textId="77777777" w:rsidR="00242401" w:rsidRPr="00E60F58" w:rsidRDefault="00242401" w:rsidP="00242401">
      <w:pPr>
        <w:bidi/>
        <w:spacing w:before="100" w:beforeAutospacing="1" w:after="100" w:afterAutospacing="1" w:line="240" w:lineRule="auto"/>
        <w:rPr>
          <w:rFonts w:ascii="Traditional Arabic" w:eastAsia="Times New Roman" w:hAnsi="Traditional Arabic" w:cs="Traditional Arabic"/>
          <w:sz w:val="32"/>
          <w:szCs w:val="32"/>
        </w:rPr>
      </w:pPr>
    </w:p>
    <w:p w14:paraId="79C50EFE" w14:textId="77777777" w:rsidR="00E60F58" w:rsidRPr="00E60F58" w:rsidRDefault="00E50309" w:rsidP="00540437">
      <w:pPr>
        <w:bidi/>
        <w:spacing w:before="100" w:beforeAutospacing="1" w:after="100" w:afterAutospacing="1" w:line="240" w:lineRule="auto"/>
        <w:outlineLvl w:val="1"/>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7.</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مبررات اختيار الموضوع</w:t>
      </w:r>
    </w:p>
    <w:p w14:paraId="17DD201C" w14:textId="77777777" w:rsidR="00E60F58" w:rsidRPr="00E60F58" w:rsidRDefault="00E60F58" w:rsidP="00540437">
      <w:pPr>
        <w:bidi/>
        <w:spacing w:before="100" w:beforeAutospacing="1" w:after="100" w:afterAutospacing="1" w:line="240" w:lineRule="auto"/>
        <w:outlineLvl w:val="2"/>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مبررات ذاتية</w:t>
      </w:r>
      <w:r>
        <w:rPr>
          <w:rFonts w:ascii="Traditional Arabic" w:eastAsia="Times New Roman" w:hAnsi="Traditional Arabic" w:cs="Traditional Arabic"/>
          <w:b/>
          <w:bCs/>
          <w:sz w:val="32"/>
          <w:szCs w:val="32"/>
        </w:rPr>
        <w:t>:</w:t>
      </w:r>
    </w:p>
    <w:p w14:paraId="19259323" w14:textId="77777777" w:rsidR="00E60F58" w:rsidRPr="00E60F58" w:rsidRDefault="00E60F58" w:rsidP="00540437">
      <w:pPr>
        <w:numPr>
          <w:ilvl w:val="0"/>
          <w:numId w:val="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الاهتمام الشخصي بمواضيع الهندسة المالية وأدوات إدارة المخاطر</w:t>
      </w:r>
      <w:r>
        <w:rPr>
          <w:rFonts w:ascii="Traditional Arabic" w:eastAsia="Times New Roman" w:hAnsi="Traditional Arabic" w:cs="Traditional Arabic"/>
          <w:sz w:val="32"/>
          <w:szCs w:val="32"/>
        </w:rPr>
        <w:t xml:space="preserve">. </w:t>
      </w:r>
    </w:p>
    <w:p w14:paraId="518A6BB2" w14:textId="77777777" w:rsidR="00E60F58" w:rsidRPr="00E60F58" w:rsidRDefault="00E60F58" w:rsidP="00540437">
      <w:pPr>
        <w:numPr>
          <w:ilvl w:val="0"/>
          <w:numId w:val="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الرغبة في دراسة آليات حديثة يمكن أن تطور المنظومة المصرفية وتحسّن إدارة المخاطر فيها</w:t>
      </w:r>
      <w:r>
        <w:rPr>
          <w:rFonts w:ascii="Traditional Arabic" w:eastAsia="Times New Roman" w:hAnsi="Traditional Arabic" w:cs="Traditional Arabic"/>
          <w:sz w:val="32"/>
          <w:szCs w:val="32"/>
        </w:rPr>
        <w:t xml:space="preserve">. </w:t>
      </w:r>
    </w:p>
    <w:p w14:paraId="46527E87" w14:textId="77777777" w:rsidR="00E60F58" w:rsidRPr="00E60F58" w:rsidRDefault="00E60F58" w:rsidP="00540437">
      <w:pPr>
        <w:bidi/>
        <w:spacing w:before="100" w:beforeAutospacing="1" w:after="100" w:afterAutospacing="1" w:line="240" w:lineRule="auto"/>
        <w:outlineLvl w:val="2"/>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مبررات موضوعية</w:t>
      </w:r>
      <w:r>
        <w:rPr>
          <w:rFonts w:ascii="Traditional Arabic" w:eastAsia="Times New Roman" w:hAnsi="Traditional Arabic" w:cs="Traditional Arabic"/>
          <w:b/>
          <w:bCs/>
          <w:sz w:val="32"/>
          <w:szCs w:val="32"/>
        </w:rPr>
        <w:t>:</w:t>
      </w:r>
    </w:p>
    <w:p w14:paraId="65CCEC57" w14:textId="77777777" w:rsidR="00E60F58" w:rsidRPr="00E60F58" w:rsidRDefault="00E60F58" w:rsidP="00540437">
      <w:pPr>
        <w:numPr>
          <w:ilvl w:val="0"/>
          <w:numId w:val="6"/>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حداثة موضوع التوريق وإدارة المخاطر المصرفية في الأدبيات العربية وحاجة البحث العلمي إليه</w:t>
      </w:r>
      <w:r>
        <w:rPr>
          <w:rFonts w:ascii="Traditional Arabic" w:eastAsia="Times New Roman" w:hAnsi="Traditional Arabic" w:cs="Traditional Arabic"/>
          <w:sz w:val="32"/>
          <w:szCs w:val="32"/>
        </w:rPr>
        <w:t xml:space="preserve">. </w:t>
      </w:r>
    </w:p>
    <w:p w14:paraId="0193A3A5" w14:textId="77777777" w:rsidR="00E60F58" w:rsidRPr="00E60F58" w:rsidRDefault="00E60F58" w:rsidP="00540437">
      <w:pPr>
        <w:numPr>
          <w:ilvl w:val="0"/>
          <w:numId w:val="6"/>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غياب دراسات محلية معمقة حول الإطار القانوني للتوريق</w:t>
      </w:r>
      <w:r>
        <w:rPr>
          <w:rFonts w:ascii="Traditional Arabic" w:eastAsia="Times New Roman" w:hAnsi="Traditional Arabic" w:cs="Traditional Arabic"/>
          <w:sz w:val="32"/>
          <w:szCs w:val="32"/>
        </w:rPr>
        <w:t xml:space="preserve">. </w:t>
      </w:r>
    </w:p>
    <w:p w14:paraId="17F9A2D9" w14:textId="77777777" w:rsidR="00E60F58" w:rsidRPr="00E60F58" w:rsidRDefault="00E60F58" w:rsidP="00540437">
      <w:pPr>
        <w:numPr>
          <w:ilvl w:val="0"/>
          <w:numId w:val="6"/>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حاجة البنوك إلى ابتكار أدوات مالية جديدة لتحسين السيولة وتعزيز إدارة المخاطر</w:t>
      </w:r>
      <w:r>
        <w:rPr>
          <w:rFonts w:ascii="Traditional Arabic" w:eastAsia="Times New Roman" w:hAnsi="Traditional Arabic" w:cs="Traditional Arabic"/>
          <w:sz w:val="32"/>
          <w:szCs w:val="32"/>
        </w:rPr>
        <w:t xml:space="preserve">. </w:t>
      </w:r>
    </w:p>
    <w:p w14:paraId="5EE91142" w14:textId="77777777" w:rsidR="00E60F58" w:rsidRPr="00E60F58" w:rsidRDefault="00E50309" w:rsidP="00540437">
      <w:pPr>
        <w:bidi/>
        <w:spacing w:before="100" w:beforeAutospacing="1" w:after="100" w:afterAutospacing="1" w:line="240" w:lineRule="auto"/>
        <w:outlineLvl w:val="1"/>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8.</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حدود الدراسة</w:t>
      </w:r>
    </w:p>
    <w:p w14:paraId="2E47FFAF" w14:textId="77777777" w:rsidR="00E60F58" w:rsidRPr="00E60F58" w:rsidRDefault="00E60F58" w:rsidP="00540437">
      <w:pPr>
        <w:bidi/>
        <w:spacing w:before="100" w:beforeAutospacing="1" w:after="100" w:afterAutospacing="1" w:line="240" w:lineRule="auto"/>
        <w:outlineLvl w:val="2"/>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 xml:space="preserve">حدود </w:t>
      </w:r>
      <w:proofErr w:type="gramStart"/>
      <w:r>
        <w:rPr>
          <w:rFonts w:ascii="Traditional Arabic" w:eastAsia="Times New Roman" w:hAnsi="Traditional Arabic" w:cs="Traditional Arabic"/>
          <w:b/>
          <w:bCs/>
          <w:sz w:val="32"/>
          <w:szCs w:val="32"/>
          <w:rtl/>
        </w:rPr>
        <w:t>مكانية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tl/>
        </w:rPr>
        <w:t>تمس</w:t>
      </w:r>
      <w:proofErr w:type="gramEnd"/>
      <w:r>
        <w:rPr>
          <w:rFonts w:ascii="Traditional Arabic" w:eastAsia="Times New Roman" w:hAnsi="Traditional Arabic" w:cs="Traditional Arabic"/>
          <w:sz w:val="32"/>
          <w:szCs w:val="32"/>
          <w:rtl/>
        </w:rPr>
        <w:t xml:space="preserve"> الدراسة البنك الأهلي السعودي كنموذج تطبيقي لإدارة المخاطر المصرفية عبر التوريق</w:t>
      </w:r>
      <w:r>
        <w:rPr>
          <w:rFonts w:ascii="Traditional Arabic" w:eastAsia="Times New Roman" w:hAnsi="Traditional Arabic" w:cs="Traditional Arabic"/>
          <w:sz w:val="32"/>
          <w:szCs w:val="32"/>
        </w:rPr>
        <w:t>.</w:t>
      </w:r>
    </w:p>
    <w:p w14:paraId="1B28B18C" w14:textId="77777777" w:rsidR="00E60F58" w:rsidRPr="00E60F58" w:rsidRDefault="00E60F58" w:rsidP="00540437">
      <w:pPr>
        <w:bidi/>
        <w:spacing w:before="100" w:beforeAutospacing="1" w:after="100" w:afterAutospacing="1" w:line="240" w:lineRule="auto"/>
        <w:outlineLvl w:val="2"/>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حدود زمانية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hint="cs"/>
          <w:b/>
          <w:bCs/>
          <w:sz w:val="32"/>
          <w:szCs w:val="32"/>
          <w:rtl/>
        </w:rPr>
        <w:t xml:space="preserve"> </w:t>
      </w:r>
      <w:r>
        <w:rPr>
          <w:rFonts w:ascii="Traditional Arabic" w:eastAsia="Times New Roman" w:hAnsi="Traditional Arabic" w:cs="Traditional Arabic" w:hint="cs"/>
          <w:sz w:val="32"/>
          <w:szCs w:val="32"/>
          <w:rtl/>
        </w:rPr>
        <w:t>من 1 فيفري 2026 الى غاية 30ماي 2026</w:t>
      </w:r>
    </w:p>
    <w:p w14:paraId="032FFA97" w14:textId="77777777" w:rsidR="00E60F58" w:rsidRPr="00E60F58" w:rsidRDefault="00E60F58" w:rsidP="00540437">
      <w:pPr>
        <w:bidi/>
        <w:spacing w:before="100" w:beforeAutospacing="1" w:after="100" w:afterAutospacing="1" w:line="240" w:lineRule="auto"/>
        <w:outlineLvl w:val="2"/>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tl/>
        </w:rPr>
        <w:t xml:space="preserve">حدود </w:t>
      </w:r>
      <w:proofErr w:type="gramStart"/>
      <w:r>
        <w:rPr>
          <w:rFonts w:ascii="Traditional Arabic" w:eastAsia="Times New Roman" w:hAnsi="Traditional Arabic" w:cs="Traditional Arabic"/>
          <w:b/>
          <w:bCs/>
          <w:sz w:val="32"/>
          <w:szCs w:val="32"/>
          <w:rtl/>
        </w:rPr>
        <w:t>موضوعية</w:t>
      </w:r>
      <w:r>
        <w:rPr>
          <w:rFonts w:ascii="Traditional Arabic" w:eastAsia="Times New Roman" w:hAnsi="Traditional Arabic" w:cs="Traditional Arabic"/>
          <w:b/>
          <w:bCs/>
          <w:sz w:val="32"/>
          <w:szCs w:val="32"/>
        </w:rPr>
        <w:t>:</w:t>
      </w:r>
      <w:r>
        <w:rPr>
          <w:rFonts w:ascii="Traditional Arabic" w:eastAsia="Times New Roman" w:hAnsi="Traditional Arabic" w:cs="Traditional Arabic"/>
          <w:sz w:val="32"/>
          <w:szCs w:val="32"/>
          <w:rtl/>
        </w:rPr>
        <w:t>تتناول</w:t>
      </w:r>
      <w:proofErr w:type="gramEnd"/>
      <w:r>
        <w:rPr>
          <w:rFonts w:ascii="Traditional Arabic" w:eastAsia="Times New Roman" w:hAnsi="Traditional Arabic" w:cs="Traditional Arabic"/>
          <w:sz w:val="32"/>
          <w:szCs w:val="32"/>
          <w:rtl/>
        </w:rPr>
        <w:t xml:space="preserve"> الدراسة التوريق المصرفي للديون من حيث المفهوم، الآليات، الإطار القانوني، والممارسة الدولية</w:t>
      </w:r>
      <w:r>
        <w:rPr>
          <w:rFonts w:ascii="Traditional Arabic" w:eastAsia="Times New Roman" w:hAnsi="Traditional Arabic" w:cs="Traditional Arabic" w:hint="cs"/>
          <w:sz w:val="32"/>
          <w:szCs w:val="32"/>
          <w:rtl/>
        </w:rPr>
        <w:t>.</w:t>
      </w:r>
    </w:p>
    <w:p w14:paraId="62AD2535" w14:textId="77777777" w:rsidR="00E60F58" w:rsidRDefault="00E50309" w:rsidP="00540437">
      <w:pPr>
        <w:bidi/>
        <w:spacing w:before="100" w:beforeAutospacing="1" w:after="100" w:afterAutospacing="1" w:line="240" w:lineRule="auto"/>
        <w:outlineLvl w:val="1"/>
        <w:rPr>
          <w:rFonts w:ascii="Traditional Arabic" w:eastAsia="Times New Roman" w:hAnsi="Traditional Arabic" w:cs="Traditional Arabic"/>
          <w:b/>
          <w:bCs/>
          <w:sz w:val="32"/>
          <w:szCs w:val="32"/>
          <w:rtl/>
        </w:rPr>
      </w:pPr>
      <w:r>
        <w:rPr>
          <w:rFonts w:ascii="Traditional Arabic" w:eastAsia="Times New Roman" w:hAnsi="Traditional Arabic" w:cs="Traditional Arabic" w:hint="cs"/>
          <w:b/>
          <w:bCs/>
          <w:sz w:val="32"/>
          <w:szCs w:val="32"/>
          <w:rtl/>
        </w:rPr>
        <w:t>9.</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منهجية الدراسة وأدواتها</w:t>
      </w:r>
    </w:p>
    <w:p w14:paraId="27793E7F" w14:textId="3F00EFC1" w:rsidR="00081565" w:rsidRDefault="00081565" w:rsidP="00081565">
      <w:pPr>
        <w:bidi/>
        <w:spacing w:before="100" w:beforeAutospacing="1" w:after="100" w:afterAutospacing="1" w:line="240" w:lineRule="auto"/>
        <w:outlineLvl w:val="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اعتمدت هذه الدراسة على المنهج الوصفي في الفصل الأول كإطار منهجي لفهم وتأصيل المفاهيم المتعلقة بالتوريق المصرفي كآلية لإدارة المخاطر وبناء خلفية نظرية متكاملة للموضوع بالاستناد إلى الأدبيات والدراسات السابقة. كما تم استخدام المنهج التحليلي من خلال توظيف أدوات تحليلية كمية ونوعية شملت استقراء وتحليل التقارير المالية والسنوية والبيانات الإحصائية الخاصة بالبنك الأهلي السعودي لفترة الدراسة 2019–2023، بهدف قياس أثر التوريق على مؤشرات إدارة المخاطر المصرفية.</w:t>
      </w:r>
    </w:p>
    <w:p w14:paraId="21FA901D" w14:textId="24776993" w:rsidR="00242401" w:rsidRDefault="00242401" w:rsidP="00242401">
      <w:pPr>
        <w:bidi/>
        <w:spacing w:before="100" w:beforeAutospacing="1" w:after="100" w:afterAutospacing="1" w:line="240" w:lineRule="auto"/>
        <w:outlineLvl w:val="1"/>
        <w:rPr>
          <w:rFonts w:ascii="Traditional Arabic" w:eastAsia="Times New Roman" w:hAnsi="Traditional Arabic" w:cs="Traditional Arabic"/>
          <w:sz w:val="32"/>
          <w:szCs w:val="32"/>
        </w:rPr>
      </w:pPr>
    </w:p>
    <w:p w14:paraId="1419F95B" w14:textId="77777777" w:rsidR="00242401" w:rsidRPr="00081565" w:rsidRDefault="00242401" w:rsidP="00242401">
      <w:pPr>
        <w:bidi/>
        <w:spacing w:before="100" w:beforeAutospacing="1" w:after="100" w:afterAutospacing="1" w:line="240" w:lineRule="auto"/>
        <w:outlineLvl w:val="1"/>
        <w:rPr>
          <w:rFonts w:ascii="Traditional Arabic" w:eastAsia="Times New Roman" w:hAnsi="Traditional Arabic" w:cs="Traditional Arabic"/>
          <w:sz w:val="32"/>
          <w:szCs w:val="32"/>
        </w:rPr>
      </w:pPr>
    </w:p>
    <w:p w14:paraId="715F4941" w14:textId="77777777" w:rsidR="00E60F58" w:rsidRPr="00E60F58" w:rsidRDefault="00081565" w:rsidP="00081565">
      <w:pPr>
        <w:bidi/>
        <w:spacing w:before="100" w:beforeAutospacing="1" w:after="100" w:afterAutospacing="1" w:line="240" w:lineRule="auto"/>
        <w:outlineLvl w:val="1"/>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 xml:space="preserve"> 10.</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تقسيم الدراسة</w:t>
      </w:r>
    </w:p>
    <w:p w14:paraId="6F8A2883" w14:textId="77777777" w:rsidR="00E60F58" w:rsidRPr="00E60F58" w:rsidRDefault="00E60F58" w:rsidP="00540437">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جاءت الدراسة وفق الدليل في فصلين كما يلي</w:t>
      </w:r>
      <w:r>
        <w:rPr>
          <w:rFonts w:ascii="Traditional Arabic" w:eastAsia="Times New Roman" w:hAnsi="Traditional Arabic" w:cs="Traditional Arabic"/>
          <w:sz w:val="32"/>
          <w:szCs w:val="32"/>
        </w:rPr>
        <w:t>:</w:t>
      </w:r>
    </w:p>
    <w:p w14:paraId="22412AFE" w14:textId="5B6605C8" w:rsidR="00E60F58" w:rsidRPr="00584F16" w:rsidRDefault="00E60F58" w:rsidP="00540437">
      <w:pPr>
        <w:bidi/>
        <w:spacing w:before="100" w:beforeAutospacing="1" w:after="100" w:afterAutospacing="1" w:line="240" w:lineRule="auto"/>
        <w:outlineLvl w:val="2"/>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 xml:space="preserve">الفصل الأول: </w:t>
      </w:r>
      <w:r w:rsidR="00584F16" w:rsidRPr="00584F16">
        <w:rPr>
          <w:rFonts w:ascii="Traditional Arabic" w:eastAsia="Times New Roman" w:hAnsi="Traditional Arabic" w:cs="Traditional Arabic"/>
          <w:b/>
          <w:bCs/>
          <w:sz w:val="32"/>
          <w:szCs w:val="32"/>
          <w:rtl/>
        </w:rPr>
        <w:t>الإطار النظري للتوريق كآلية لإدارة المخاطر المصرفية</w:t>
      </w:r>
    </w:p>
    <w:p w14:paraId="391B206D" w14:textId="77777777" w:rsidR="00E60F58" w:rsidRPr="00E60F58" w:rsidRDefault="00E60F58" w:rsidP="00540437">
      <w:pPr>
        <w:numPr>
          <w:ilvl w:val="0"/>
          <w:numId w:val="7"/>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المبحث الأول: الإطار المفاهيمي للتوريق </w:t>
      </w:r>
    </w:p>
    <w:p w14:paraId="60B7BA61" w14:textId="77777777" w:rsidR="00E60F58" w:rsidRPr="00E60F58" w:rsidRDefault="00E60F58" w:rsidP="00540437">
      <w:pPr>
        <w:numPr>
          <w:ilvl w:val="0"/>
          <w:numId w:val="7"/>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المبحث الثاني: الدراسات السابقة (العربية + الأجنبية + المقارنة</w:t>
      </w:r>
      <w:r>
        <w:rPr>
          <w:rFonts w:ascii="Traditional Arabic" w:eastAsia="Times New Roman" w:hAnsi="Traditional Arabic" w:cs="Traditional Arabic" w:hint="cs"/>
          <w:sz w:val="32"/>
          <w:szCs w:val="32"/>
          <w:rtl/>
        </w:rPr>
        <w:t>)</w:t>
      </w:r>
      <w:r>
        <w:rPr>
          <w:rFonts w:ascii="Traditional Arabic" w:eastAsia="Times New Roman" w:hAnsi="Traditional Arabic" w:cs="Traditional Arabic"/>
          <w:sz w:val="32"/>
          <w:szCs w:val="32"/>
        </w:rPr>
        <w:t xml:space="preserve"> </w:t>
      </w:r>
    </w:p>
    <w:p w14:paraId="037611B4" w14:textId="77777777" w:rsidR="00B04453" w:rsidRDefault="00B04453" w:rsidP="00540437">
      <w:pPr>
        <w:bidi/>
        <w:spacing w:before="100" w:beforeAutospacing="1" w:after="100" w:afterAutospacing="1" w:line="240" w:lineRule="auto"/>
        <w:ind w:left="360"/>
        <w:rPr>
          <w:rFonts w:ascii="Traditional Arabic" w:eastAsia="Times New Roman" w:hAnsi="Traditional Arabic" w:cs="Traditional Arabic"/>
          <w:b/>
          <w:bCs/>
          <w:sz w:val="32"/>
          <w:szCs w:val="32"/>
          <w:rtl/>
        </w:rPr>
      </w:pPr>
      <w:r>
        <w:rPr>
          <w:rFonts w:ascii="Traditional Arabic" w:eastAsia="Times New Roman" w:hAnsi="Traditional Arabic" w:cs="Traditional Arabic" w:hint="cs"/>
          <w:b/>
          <w:bCs/>
          <w:sz w:val="32"/>
          <w:szCs w:val="32"/>
          <w:rtl/>
        </w:rPr>
        <w:t>الفصل</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الثاني</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الدراسة</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التطبيقية</w:t>
      </w:r>
      <w:r>
        <w:rPr>
          <w:rFonts w:ascii="Traditional Arabic" w:eastAsia="Times New Roman" w:hAnsi="Traditional Arabic" w:cs="Traditional Arabic"/>
          <w:b/>
          <w:bCs/>
          <w:sz w:val="32"/>
          <w:szCs w:val="32"/>
          <w:rtl/>
        </w:rPr>
        <w:t xml:space="preserve"> – </w:t>
      </w:r>
      <w:r>
        <w:rPr>
          <w:rFonts w:ascii="Traditional Arabic" w:eastAsia="Times New Roman" w:hAnsi="Traditional Arabic" w:cs="Traditional Arabic" w:hint="cs"/>
          <w:b/>
          <w:bCs/>
          <w:sz w:val="32"/>
          <w:szCs w:val="32"/>
          <w:rtl/>
        </w:rPr>
        <w:t>التوريق</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المصرفي</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في</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البنك</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الأهلي</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السعودي</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دراسة</w:t>
      </w:r>
      <w:r>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حالة</w:t>
      </w:r>
      <w:r>
        <w:rPr>
          <w:rFonts w:ascii="Traditional Arabic" w:eastAsia="Times New Roman" w:hAnsi="Traditional Arabic" w:cs="Traditional Arabic"/>
          <w:b/>
          <w:bCs/>
          <w:sz w:val="32"/>
          <w:szCs w:val="32"/>
          <w:rtl/>
        </w:rPr>
        <w:t>)</w:t>
      </w:r>
    </w:p>
    <w:p w14:paraId="6391E088" w14:textId="77777777" w:rsidR="00B04453" w:rsidRPr="00B04453" w:rsidRDefault="00B04453" w:rsidP="00540437">
      <w:pPr>
        <w:pStyle w:val="Paragraphedeliste"/>
        <w:numPr>
          <w:ilvl w:val="0"/>
          <w:numId w:val="58"/>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المبحث الأول: تقديم مؤسسة البنك الأهلي السعودي</w:t>
      </w:r>
    </w:p>
    <w:p w14:paraId="6E5FBFCF" w14:textId="77777777" w:rsidR="00B04453" w:rsidRPr="00B04453" w:rsidRDefault="00B04453" w:rsidP="00540437">
      <w:pPr>
        <w:pStyle w:val="Paragraphedeliste"/>
        <w:numPr>
          <w:ilvl w:val="0"/>
          <w:numId w:val="58"/>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المبحث الثاني: آلية التوريق في البنك الأهلي السعودي</w:t>
      </w:r>
    </w:p>
    <w:p w14:paraId="6A4E5272" w14:textId="77777777" w:rsidR="00B04453" w:rsidRPr="00B04453" w:rsidRDefault="00B04453" w:rsidP="00540437">
      <w:pPr>
        <w:pStyle w:val="Paragraphedeliste"/>
        <w:numPr>
          <w:ilvl w:val="0"/>
          <w:numId w:val="58"/>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المبحث الثالث: استخدام التوريق في إدارة المخاطر في البنك الأهلي السعودي</w:t>
      </w:r>
    </w:p>
    <w:p w14:paraId="59BDCF22" w14:textId="77777777" w:rsidR="00E60F58" w:rsidRDefault="00E60F58" w:rsidP="00540437">
      <w:pPr>
        <w:bidi/>
        <w:spacing w:before="100" w:beforeAutospacing="1" w:after="100" w:afterAutospacing="1" w:line="240" w:lineRule="auto"/>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وفي الختام تأتي</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b/>
          <w:bCs/>
          <w:sz w:val="32"/>
          <w:szCs w:val="32"/>
          <w:rtl/>
        </w:rPr>
        <w:t>الخاتمة – النتائج – التوصيات – الصعوبات – آفاق البحث – الملاحق – المراجع</w:t>
      </w:r>
      <w:r>
        <w:rPr>
          <w:rFonts w:ascii="Traditional Arabic" w:eastAsia="Times New Roman" w:hAnsi="Traditional Arabic" w:cs="Traditional Arabic"/>
          <w:sz w:val="32"/>
          <w:szCs w:val="32"/>
        </w:rPr>
        <w:t>.</w:t>
      </w:r>
    </w:p>
    <w:p w14:paraId="61C01E85" w14:textId="77777777" w:rsidR="00C853BC" w:rsidRDefault="00C853BC" w:rsidP="00540437">
      <w:pPr>
        <w:bidi/>
        <w:spacing w:before="100" w:beforeAutospacing="1" w:after="100" w:afterAutospacing="1" w:line="240" w:lineRule="auto"/>
        <w:rPr>
          <w:rFonts w:ascii="Traditional Arabic" w:eastAsia="Times New Roman" w:hAnsi="Traditional Arabic" w:cs="Traditional Arabic"/>
          <w:sz w:val="32"/>
          <w:szCs w:val="32"/>
          <w:rtl/>
        </w:rPr>
        <w:sectPr w:rsidR="00C853BC" w:rsidSect="009F79D5">
          <w:headerReference w:type="default" r:id="rId16"/>
          <w:footerReference w:type="default" r:id="rId17"/>
          <w:pgSz w:w="11906" w:h="16838"/>
          <w:pgMar w:top="1417" w:right="1417" w:bottom="1417" w:left="1417" w:header="708" w:footer="708" w:gutter="0"/>
          <w:pgNumType w:fmt="arabicAbjad" w:start="1"/>
          <w:cols w:space="708"/>
          <w:docGrid w:linePitch="360"/>
        </w:sectPr>
      </w:pPr>
    </w:p>
    <w:p w14:paraId="225FC5FC" w14:textId="77777777" w:rsidR="0091194F" w:rsidRDefault="0091194F"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4F3B1D14"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29D75B83"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45DE82DC"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044F1CB3"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6A0CAC48" w14:textId="78CC93FE" w:rsidR="000A77B5" w:rsidRDefault="000A77B5" w:rsidP="00540437">
      <w:pPr>
        <w:bidi/>
        <w:spacing w:before="100" w:beforeAutospacing="1" w:after="100" w:afterAutospacing="1" w:line="240" w:lineRule="auto"/>
        <w:jc w:val="center"/>
        <w:rPr>
          <w:rFonts w:ascii="Traditional Arabic" w:eastAsia="Times New Roman" w:hAnsi="Traditional Arabic" w:cs="Traditional Arabic"/>
          <w:b/>
          <w:bCs/>
          <w:sz w:val="96"/>
          <w:szCs w:val="96"/>
        </w:rPr>
      </w:pPr>
      <w:r>
        <w:rPr>
          <w:rFonts w:ascii="Traditional Arabic" w:eastAsia="Times New Roman" w:hAnsi="Traditional Arabic" w:cs="Traditional Arabic" w:hint="cs"/>
          <w:b/>
          <w:bCs/>
          <w:sz w:val="96"/>
          <w:szCs w:val="96"/>
          <w:rtl/>
        </w:rPr>
        <w:t xml:space="preserve">الفصل </w:t>
      </w:r>
      <w:r w:rsidR="009F4C19">
        <w:rPr>
          <w:rFonts w:ascii="Traditional Arabic" w:eastAsia="Times New Roman" w:hAnsi="Traditional Arabic" w:cs="Traditional Arabic" w:hint="cs"/>
          <w:b/>
          <w:bCs/>
          <w:sz w:val="96"/>
          <w:szCs w:val="96"/>
          <w:rtl/>
        </w:rPr>
        <w:t>الاول:</w:t>
      </w:r>
    </w:p>
    <w:p w14:paraId="033A3B46" w14:textId="36584B13" w:rsidR="004F770A" w:rsidRPr="000A77B5" w:rsidRDefault="004B1BB8" w:rsidP="00540437">
      <w:pPr>
        <w:bidi/>
        <w:spacing w:before="100" w:beforeAutospacing="1" w:after="100" w:afterAutospacing="1" w:line="240" w:lineRule="auto"/>
        <w:jc w:val="center"/>
        <w:rPr>
          <w:rFonts w:ascii="Traditional Arabic" w:eastAsia="Times New Roman" w:hAnsi="Traditional Arabic" w:cs="Traditional Arabic"/>
          <w:b/>
          <w:bCs/>
          <w:sz w:val="96"/>
          <w:szCs w:val="96"/>
          <w:rtl/>
          <w:lang w:bidi="ar-DZ"/>
        </w:rPr>
      </w:pPr>
      <w:bookmarkStart w:id="3" w:name="_Hlk231672555"/>
      <w:r>
        <w:rPr>
          <w:rFonts w:ascii="Traditional Arabic" w:eastAsia="Times New Roman" w:hAnsi="Traditional Arabic" w:cs="Traditional Arabic" w:hint="cs"/>
          <w:b/>
          <w:bCs/>
          <w:sz w:val="96"/>
          <w:szCs w:val="96"/>
          <w:rtl/>
          <w:lang w:bidi="ar-DZ"/>
        </w:rPr>
        <w:t>الإطار النظري للتوريق كآلية لإدارة المخاطر المصرفية</w:t>
      </w:r>
    </w:p>
    <w:bookmarkEnd w:id="3"/>
    <w:p w14:paraId="6C009C3B"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6E767F4A"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52FE3464"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7D2CB990"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37D7D654"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6E4628A8" w14:textId="77777777" w:rsidR="000A77B5" w:rsidRDefault="000A77B5" w:rsidP="00540437">
      <w:pPr>
        <w:bidi/>
        <w:spacing w:before="100" w:beforeAutospacing="1" w:after="100" w:afterAutospacing="1" w:line="240" w:lineRule="auto"/>
        <w:rPr>
          <w:rFonts w:ascii="Traditional Arabic" w:eastAsia="Times New Roman" w:hAnsi="Traditional Arabic" w:cs="Traditional Arabic"/>
          <w:b/>
          <w:bCs/>
          <w:sz w:val="36"/>
          <w:szCs w:val="36"/>
          <w:rtl/>
        </w:rPr>
      </w:pPr>
    </w:p>
    <w:p w14:paraId="1492B490" w14:textId="77777777" w:rsidR="00C853BC" w:rsidRDefault="00C853BC" w:rsidP="00540437">
      <w:pPr>
        <w:bidi/>
        <w:spacing w:before="100" w:beforeAutospacing="1" w:after="100" w:afterAutospacing="1" w:line="240" w:lineRule="auto"/>
        <w:rPr>
          <w:rFonts w:ascii="Traditional Arabic" w:eastAsia="Times New Roman" w:hAnsi="Traditional Arabic" w:cs="Traditional Arabic"/>
          <w:b/>
          <w:bCs/>
          <w:sz w:val="36"/>
          <w:szCs w:val="36"/>
          <w:rtl/>
        </w:rPr>
        <w:sectPr w:rsidR="00C853BC" w:rsidSect="009F79D5">
          <w:headerReference w:type="default" r:id="rId18"/>
          <w:footerReference w:type="default" r:id="rId19"/>
          <w:pgSz w:w="11906" w:h="16838"/>
          <w:pgMar w:top="1417" w:right="1417" w:bottom="1417" w:left="1417" w:header="708" w:footer="708" w:gutter="0"/>
          <w:pgNumType w:fmt="arabicAbjad" w:start="1"/>
          <w:cols w:space="708"/>
          <w:docGrid w:linePitch="360"/>
        </w:sectPr>
      </w:pPr>
    </w:p>
    <w:p w14:paraId="5B25B1C8" w14:textId="77777777" w:rsidR="00EE0B13" w:rsidRDefault="00EE0B13" w:rsidP="0099106E">
      <w:pPr>
        <w:bidi/>
        <w:spacing w:after="0" w:line="240" w:lineRule="auto"/>
        <w:rPr>
          <w:rFonts w:ascii="Traditional Arabic" w:eastAsia="Times New Roman" w:hAnsi="Traditional Arabic" w:cs="Traditional Arabic"/>
          <w:b/>
          <w:bCs/>
          <w:sz w:val="36"/>
          <w:szCs w:val="36"/>
          <w:rtl/>
        </w:rPr>
      </w:pPr>
      <w:r>
        <w:rPr>
          <w:rFonts w:ascii="Traditional Arabic" w:eastAsia="Times New Roman" w:hAnsi="Traditional Arabic" w:cs="Traditional Arabic"/>
          <w:b/>
          <w:bCs/>
          <w:sz w:val="36"/>
          <w:szCs w:val="36"/>
          <w:rtl/>
        </w:rPr>
        <w:lastRenderedPageBreak/>
        <w:t>تمهيد</w:t>
      </w:r>
    </w:p>
    <w:p w14:paraId="50222BB5" w14:textId="77777777" w:rsidR="00EE0B13" w:rsidRPr="00EE0B13" w:rsidRDefault="00EE0B13"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شهدت الساحة المالية العالمية خلال العقود الأخيرة تحولات جذرية نتيجة التطور المتسارع في ابتكارات الهندسة المالية، التي سعى من خلالها القطاع المصرفي إلى البحث عن آليات غير تقليدية لمواجهة تحديات السيولة وإدارة المخاطر الائتمانية</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وفي هذا السياق، برز "التوريق المصرفي" كواحد من أهم الأدوات المالية التي أحدثت ثورة في بنية الوساطة المالية، حيث لم يعد دور المصارف مقتصراً على منح القروض والاحتفاظ بها حتى تاريخ الاستحقاق، بل امتد ليشمل تحويل هذه الأصول والديون الآجلة إلى أوراق مالية قابلة للتداول في الأسواق المالية</w:t>
      </w:r>
      <w:r>
        <w:rPr>
          <w:rFonts w:ascii="Traditional Arabic" w:eastAsia="Times New Roman" w:hAnsi="Traditional Arabic" w:cs="Traditional Arabic"/>
          <w:sz w:val="32"/>
          <w:szCs w:val="32"/>
        </w:rPr>
        <w:t xml:space="preserve">. </w:t>
      </w:r>
    </w:p>
    <w:p w14:paraId="49F3A7BA" w14:textId="77777777" w:rsidR="00EE0B13" w:rsidRPr="00EE0B13" w:rsidRDefault="00EE0B13"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وتأتي أهمية دراسة هذا الموضوع من كونه يجمع بين "الإطار" القانوني والتنظيمي المعقد، وبين "الممارسة" المصرفية التي تهدف إلى تحسين كفاءة الميزانيات العمومية وتوسيع القدرة الإقراضية للمؤسسات المالية</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ومع ذلك، فإن هذه الممارسة لا تخلو من مخاطر وتحديات هيكلية، خاصة فيما يتعلق بضمان جودة الأصول المورقة والحفاظ على الاستقرار النظامي، وهو ما استدعى وضع ضوابط ومعايير دقيقة تحكم هذه العملية لضمان عدم انحرافها عن أهدافها الاقتصادية التنموية</w:t>
      </w:r>
      <w:r>
        <w:rPr>
          <w:rFonts w:ascii="Traditional Arabic" w:eastAsia="Times New Roman" w:hAnsi="Traditional Arabic" w:cs="Traditional Arabic"/>
          <w:sz w:val="32"/>
          <w:szCs w:val="32"/>
        </w:rPr>
        <w:t>.</w:t>
      </w:r>
    </w:p>
    <w:p w14:paraId="237676C5" w14:textId="77777777" w:rsid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12B72222" w14:textId="77777777" w:rsid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16A53F88" w14:textId="77777777" w:rsid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5C82FB54" w14:textId="77777777" w:rsid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27F0A4D4" w14:textId="77777777" w:rsid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55F00E4A" w14:textId="77777777" w:rsid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75610C57" w14:textId="77777777" w:rsid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27234F2E" w14:textId="77777777" w:rsid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10A16F01" w14:textId="77777777" w:rsid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1C2C444B" w14:textId="77777777" w:rsidR="0091194F" w:rsidRDefault="0091194F" w:rsidP="0099106E">
      <w:pPr>
        <w:bidi/>
        <w:spacing w:after="0" w:line="240" w:lineRule="auto"/>
        <w:rPr>
          <w:rFonts w:ascii="Traditional Arabic" w:eastAsia="Times New Roman" w:hAnsi="Traditional Arabic" w:cs="Traditional Arabic"/>
          <w:b/>
          <w:bCs/>
          <w:sz w:val="36"/>
          <w:szCs w:val="36"/>
          <w:rtl/>
        </w:rPr>
      </w:pPr>
      <w:r>
        <w:rPr>
          <w:rFonts w:ascii="Traditional Arabic" w:eastAsia="Times New Roman" w:hAnsi="Traditional Arabic" w:cs="Traditional Arabic"/>
          <w:b/>
          <w:bCs/>
          <w:sz w:val="36"/>
          <w:szCs w:val="36"/>
          <w:rtl/>
        </w:rPr>
        <w:lastRenderedPageBreak/>
        <w:t>المبحث الأول: الإطار المفاهيمي للتوريق المصرفي</w:t>
      </w:r>
    </w:p>
    <w:p w14:paraId="6944BD4C" w14:textId="77777777" w:rsidR="005548A8" w:rsidRPr="005548A8" w:rsidRDefault="005548A8"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يُعدّ التوريق المصرفي من أبرز الأدوات المالية الحديثة التي أسهمت في تطوير عمل البنوك وإدارة المخاطر. فقد أصبح وسيلة فعّالة لتحويل الأصول غير السائلة إلى أدوات مالية قابلة للتداول، مما يمكّن المؤسسات المالية من تعزيز سيولتها وتنويع مصادر تمويلها. ونظرًا لأهميته المتزايدة في النظام المالي العالمي، فقد أصبح فهم الإطار المفاهيمي للتوريق ضرورة للباحثين والممارسين على حدّ سواء</w:t>
      </w:r>
      <w:r>
        <w:rPr>
          <w:rFonts w:ascii="Traditional Arabic" w:eastAsia="Times New Roman" w:hAnsi="Traditional Arabic" w:cs="Traditional Arabic"/>
          <w:sz w:val="32"/>
          <w:szCs w:val="32"/>
        </w:rPr>
        <w:t>.</w:t>
      </w:r>
    </w:p>
    <w:p w14:paraId="0D1EF477" w14:textId="77777777" w:rsidR="005548A8" w:rsidRPr="005548A8" w:rsidRDefault="005548A8" w:rsidP="0099106E">
      <w:pPr>
        <w:bidi/>
        <w:spacing w:after="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وفي هذا المبحث سيتم التطرّق إلى ماهية التوريق من خلال التعرف على تعريفه وأبرز خصائصه، إضافة إلى استعراض أنواعه والأسس التي يقوم عليها، بما يتيح فهماً شاملاً لطبيعته ودوره في العمل المصرفي</w:t>
      </w:r>
      <w:r>
        <w:rPr>
          <w:rFonts w:ascii="Traditional Arabic" w:eastAsia="Times New Roman" w:hAnsi="Traditional Arabic" w:cs="Traditional Arabic"/>
          <w:sz w:val="32"/>
          <w:szCs w:val="32"/>
        </w:rPr>
        <w:t>.</w:t>
      </w:r>
    </w:p>
    <w:p w14:paraId="77952343" w14:textId="77777777" w:rsidR="0091194F" w:rsidRPr="0091194F" w:rsidRDefault="0091194F" w:rsidP="0099106E">
      <w:pPr>
        <w:bidi/>
        <w:spacing w:after="0"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المطلب الأول: ماهية التوريق</w:t>
      </w:r>
    </w:p>
    <w:p w14:paraId="2F76BDB9" w14:textId="77777777" w:rsidR="0091194F" w:rsidRPr="0091194F" w:rsidRDefault="0091194F"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يُعدّ التوريق المصرفي أحد أهم الابتكارات المالية الحديثة في مجال الهندسة المالية، وقد ظهر نتيجة الحاجة الملحّة لدى المؤسسات المصرفية لإيجاد أدوات تسمح بتحويل الأصول غير السائلة إلى أداة مالية قابلة للتسويق والتداول. ومع توسّع منح القروض وارتفاع حجم المخاطر الائتمانية، ازدادت الضغوط على البنوك لتطوير وسائل جديدة تعزز سيولتها وتحسّن ملاءتها المالية، خاصة بعد ظهور المعايير الدولية لبازل التي قيّدت توسع البنوك في الإقراض دون تحسين جودة رأس المال. ومن ثمّ جاء التوريق كاستجابة طبيعية لتحديات القطاع المصرفي، بوصفه آلية تتيح "تحويل الأصول الائتمانية إلى أوراق مالية" يتم بيعها للمستثمرين بحيث تتراجع المخاطر على ميزانيات البنوك</w:t>
      </w:r>
      <w:r>
        <w:rPr>
          <w:rFonts w:ascii="Traditional Arabic" w:eastAsia="Times New Roman" w:hAnsi="Traditional Arabic" w:cs="Traditional Arabic"/>
          <w:sz w:val="32"/>
          <w:szCs w:val="32"/>
        </w:rPr>
        <w:t>.</w:t>
      </w:r>
    </w:p>
    <w:p w14:paraId="795929C3" w14:textId="77777777" w:rsidR="0091194F" w:rsidRPr="0091194F" w:rsidRDefault="0091194F"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إنّ ظهور التوريق لم يكن مجرد تطور تقني، بل مثّل نقلة نوعية في الفكر المالي، إذ انتقل التمويل من الاعتماد على قدرة المقترض إلى الاعتماد على جودة الأصل المورّق ذاته، وهو ما يسمى في الأدبيات المالية بـ التمويل القائم على الأصول</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وقد أكّد عدد من الباحثين في المالية العربية أن التوريق أصبح جزءًا أساسيًا من عمليات إدارة الأصول والخصوم في البنوك، لما يوفره من تخفيض لمخاطر الائتمان، ورفع للسيولة، وتحسين لنسب رأس المال</w:t>
      </w:r>
      <w:r>
        <w:rPr>
          <w:rFonts w:ascii="Traditional Arabic" w:eastAsia="Times New Roman" w:hAnsi="Traditional Arabic" w:cs="Traditional Arabic" w:hint="cs"/>
          <w:sz w:val="32"/>
          <w:szCs w:val="32"/>
          <w:rtl/>
        </w:rPr>
        <w:t>.</w:t>
      </w:r>
      <w:r>
        <w:rPr>
          <w:rFonts w:ascii="Traditional Arabic" w:eastAsia="Times New Roman" w:hAnsi="Traditional Arabic" w:cs="Traditional Arabic"/>
          <w:sz w:val="32"/>
          <w:szCs w:val="32"/>
          <w:rtl/>
        </w:rPr>
        <w:t xml:space="preserve"> كما ساهم التوريق في تطوير الأسواق المالية عبر طرح منتجات استثمارية جديدة ذات عوائد تختلف باختلاف مستويات المخاطرة</w:t>
      </w:r>
      <w:r>
        <w:rPr>
          <w:rFonts w:ascii="Traditional Arabic" w:eastAsia="Times New Roman" w:hAnsi="Traditional Arabic" w:cs="Traditional Arabic" w:hint="cs"/>
          <w:sz w:val="32"/>
          <w:szCs w:val="32"/>
          <w:rtl/>
        </w:rPr>
        <w:t>.</w:t>
      </w:r>
    </w:p>
    <w:p w14:paraId="6CA40996" w14:textId="77777777" w:rsidR="0091194F" w:rsidRPr="00EE0B13" w:rsidRDefault="00EE0B13" w:rsidP="0099106E">
      <w:pPr>
        <w:bidi/>
        <w:spacing w:after="0"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hint="cs"/>
          <w:b/>
          <w:bCs/>
          <w:sz w:val="36"/>
          <w:szCs w:val="36"/>
          <w:rtl/>
        </w:rPr>
        <w:t xml:space="preserve">الفرع </w:t>
      </w:r>
      <w:proofErr w:type="gramStart"/>
      <w:r>
        <w:rPr>
          <w:rFonts w:ascii="Traditional Arabic" w:eastAsia="Times New Roman" w:hAnsi="Traditional Arabic" w:cs="Traditional Arabic" w:hint="cs"/>
          <w:b/>
          <w:bCs/>
          <w:sz w:val="36"/>
          <w:szCs w:val="36"/>
          <w:rtl/>
        </w:rPr>
        <w:t xml:space="preserve">الاول </w:t>
      </w:r>
      <w:r>
        <w:rPr>
          <w:rFonts w:ascii="Traditional Arabic" w:eastAsia="Times New Roman" w:hAnsi="Traditional Arabic" w:cs="Traditional Arabic"/>
          <w:b/>
          <w:bCs/>
          <w:sz w:val="36"/>
          <w:szCs w:val="36"/>
          <w:rtl/>
        </w:rPr>
        <w:t>:</w:t>
      </w:r>
      <w:proofErr w:type="gramEnd"/>
      <w:r>
        <w:rPr>
          <w:rFonts w:ascii="Traditional Arabic" w:eastAsia="Times New Roman" w:hAnsi="Traditional Arabic" w:cs="Traditional Arabic"/>
          <w:b/>
          <w:bCs/>
          <w:sz w:val="36"/>
          <w:szCs w:val="36"/>
          <w:rtl/>
        </w:rPr>
        <w:t xml:space="preserve"> تعريف التوريق</w:t>
      </w:r>
    </w:p>
    <w:p w14:paraId="6C10A11F" w14:textId="77777777" w:rsidR="0091194F" w:rsidRPr="0091194F" w:rsidRDefault="0091194F"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تعددت تعريفات التوريق في الأدبيات المالية العربية، إلا أنها تتفق على "فكرة تحويل الأصول الائتمانية إلى أوراق مالية مدعومة بالأصول". فقد عرّفه عبد السلام خليل بأنه</w:t>
      </w:r>
      <w:r>
        <w:rPr>
          <w:rFonts w:ascii="Traditional Arabic" w:eastAsia="Times New Roman" w:hAnsi="Traditional Arabic" w:cs="Traditional Arabic"/>
          <w:sz w:val="32"/>
          <w:szCs w:val="32"/>
        </w:rPr>
        <w:t>:</w:t>
      </w:r>
      <w:r>
        <w:rPr>
          <w:rFonts w:ascii="Traditional Arabic" w:eastAsia="Times New Roman" w:hAnsi="Traditional Arabic" w:cs="Traditional Arabic"/>
          <w:sz w:val="32"/>
          <w:szCs w:val="32"/>
        </w:rPr>
        <w:br/>
        <w:t>**"</w:t>
      </w:r>
      <w:r>
        <w:rPr>
          <w:rFonts w:ascii="Traditional Arabic" w:eastAsia="Times New Roman" w:hAnsi="Traditional Arabic" w:cs="Traditional Arabic"/>
          <w:sz w:val="32"/>
          <w:szCs w:val="32"/>
          <w:rtl/>
        </w:rPr>
        <w:t>عملية تحويل الحقوق المالية المستقبلية أو محفظة من القروض إلى أوراق مالية قابلة للتداول تصدرها شركة ذات غرض خاص، وتستند قيمتها إلى التدفقات النقدية المتوقعة من تلك الحقوق"**</w:t>
      </w:r>
      <w:r>
        <w:rPr>
          <w:rFonts w:ascii="Traditional Arabic" w:eastAsia="Times New Roman" w:hAnsi="Traditional Arabic" w:cs="Traditional Arabic"/>
          <w:sz w:val="32"/>
          <w:szCs w:val="32"/>
        </w:rPr>
        <w:t>.</w:t>
      </w:r>
      <w:r>
        <w:rPr>
          <w:rStyle w:val="Appelnotedebasdep"/>
          <w:rFonts w:ascii="Traditional Arabic" w:eastAsia="Times New Roman" w:hAnsi="Traditional Arabic" w:cs="Traditional Arabic"/>
          <w:sz w:val="32"/>
          <w:szCs w:val="32"/>
        </w:rPr>
        <w:footnoteReference w:id="1"/>
      </w:r>
    </w:p>
    <w:p w14:paraId="5502162D" w14:textId="77777777" w:rsidR="0091194F" w:rsidRPr="0091194F" w:rsidRDefault="0091194F"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lastRenderedPageBreak/>
        <w:t xml:space="preserve">أما عبد الحميد علي موسى فضمن كتابه </w:t>
      </w:r>
      <w:r>
        <w:rPr>
          <w:rFonts w:ascii="Traditional Arabic" w:eastAsia="Times New Roman" w:hAnsi="Traditional Arabic" w:cs="Traditional Arabic"/>
          <w:i/>
          <w:iCs/>
          <w:sz w:val="32"/>
          <w:szCs w:val="32"/>
          <w:rtl/>
        </w:rPr>
        <w:t>الهندسة المالية</w:t>
      </w:r>
      <w:r>
        <w:rPr>
          <w:rFonts w:ascii="Traditional Arabic" w:eastAsia="Times New Roman" w:hAnsi="Traditional Arabic" w:cs="Traditional Arabic"/>
          <w:sz w:val="32"/>
          <w:szCs w:val="32"/>
          <w:rtl/>
        </w:rPr>
        <w:t xml:space="preserve"> قدّم تعريفًا قريبًا، حيث اعتبر التوريق</w:t>
      </w:r>
      <w:r>
        <w:rPr>
          <w:rFonts w:ascii="Traditional Arabic" w:eastAsia="Times New Roman" w:hAnsi="Traditional Arabic" w:cs="Traditional Arabic"/>
          <w:sz w:val="32"/>
          <w:szCs w:val="32"/>
        </w:rPr>
        <w:t>:</w:t>
      </w:r>
      <w:r>
        <w:rPr>
          <w:rFonts w:ascii="Traditional Arabic" w:eastAsia="Times New Roman" w:hAnsi="Traditional Arabic" w:cs="Traditional Arabic"/>
          <w:sz w:val="32"/>
          <w:szCs w:val="32"/>
        </w:rPr>
        <w:br/>
        <w:t>**"</w:t>
      </w:r>
      <w:r>
        <w:rPr>
          <w:rFonts w:ascii="Traditional Arabic" w:eastAsia="Times New Roman" w:hAnsi="Traditional Arabic" w:cs="Traditional Arabic"/>
          <w:sz w:val="32"/>
          <w:szCs w:val="32"/>
          <w:rtl/>
        </w:rPr>
        <w:t>أسلوبًا تمويليًا يهدف إلى إعادة تحويل الأصول غير السائلة إلى أدوات مالية قابلة للتداول عبر نقل ملكيتها إلى جهة مستقلة تقوم بإصدار أوراق مالية مضمونة بتلك الأصول"**</w:t>
      </w:r>
      <w:r>
        <w:rPr>
          <w:rStyle w:val="Appelnotedebasdep"/>
          <w:rFonts w:ascii="Traditional Arabic" w:eastAsia="Times New Roman" w:hAnsi="Traditional Arabic" w:cs="Traditional Arabic"/>
          <w:sz w:val="32"/>
          <w:szCs w:val="32"/>
          <w:rtl/>
        </w:rPr>
        <w:footnoteReference w:id="2"/>
      </w:r>
      <w:r>
        <w:rPr>
          <w:rFonts w:ascii="Traditional Arabic" w:eastAsia="Times New Roman" w:hAnsi="Traditional Arabic" w:cs="Traditional Arabic"/>
          <w:sz w:val="32"/>
          <w:szCs w:val="32"/>
        </w:rPr>
        <w:t>.</w:t>
      </w:r>
    </w:p>
    <w:p w14:paraId="4C199630" w14:textId="77777777" w:rsidR="0091194F" w:rsidRPr="0091194F" w:rsidRDefault="0091194F"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ويرى عبد الرحمن يسري أن التوريق يمثل "إعادة هيكلة للأصول المالية بهدف تحرير السيولة وتحويل الأصول طويلة الأجل إلى سيولة فورية"</w:t>
      </w:r>
      <w:r>
        <w:rPr>
          <w:rStyle w:val="Appelnotedebasdep"/>
          <w:rFonts w:ascii="Traditional Arabic" w:eastAsia="Times New Roman" w:hAnsi="Traditional Arabic" w:cs="Traditional Arabic"/>
          <w:sz w:val="32"/>
          <w:szCs w:val="32"/>
          <w:rtl/>
        </w:rPr>
        <w:footnoteReference w:id="3"/>
      </w:r>
      <w:r>
        <w:rPr>
          <w:rFonts w:ascii="Traditional Arabic" w:eastAsia="Times New Roman" w:hAnsi="Traditional Arabic" w:cs="Traditional Arabic"/>
          <w:sz w:val="32"/>
          <w:szCs w:val="32"/>
          <w:rtl/>
        </w:rPr>
        <w:t xml:space="preserve">. </w:t>
      </w:r>
      <w:r>
        <w:rPr>
          <w:rFonts w:ascii="Traditional Arabic" w:eastAsia="Times New Roman" w:hAnsi="Traditional Arabic" w:cs="Traditional Arabic" w:hint="cs"/>
          <w:sz w:val="32"/>
          <w:szCs w:val="32"/>
          <w:rtl/>
        </w:rPr>
        <w:t>بينما</w:t>
      </w:r>
      <w:r>
        <w:rPr>
          <w:rFonts w:ascii="Traditional Arabic" w:eastAsia="Times New Roman" w:hAnsi="Traditional Arabic" w:cs="Traditional Arabic"/>
          <w:sz w:val="32"/>
          <w:szCs w:val="32"/>
          <w:rtl/>
        </w:rPr>
        <w:t xml:space="preserve"> </w:t>
      </w:r>
      <w:r>
        <w:rPr>
          <w:rFonts w:ascii="Traditional Arabic" w:eastAsia="Times New Roman" w:hAnsi="Traditional Arabic" w:cs="Traditional Arabic" w:hint="cs"/>
          <w:sz w:val="32"/>
          <w:szCs w:val="32"/>
          <w:rtl/>
        </w:rPr>
        <w:t>ركّز</w:t>
      </w:r>
      <w:r>
        <w:rPr>
          <w:rFonts w:ascii="Traditional Arabic" w:eastAsia="Times New Roman" w:hAnsi="Traditional Arabic" w:cs="Traditional Arabic"/>
          <w:sz w:val="32"/>
          <w:szCs w:val="32"/>
          <w:rtl/>
        </w:rPr>
        <w:t xml:space="preserve"> محمد عبد النبي على الجانب السوقي، واعتبره "أداة لتعميق الأسواق المالية وتنويع المنتجات الاستثمارية"</w:t>
      </w:r>
      <w:r>
        <w:rPr>
          <w:rFonts w:ascii="Traditional Arabic" w:eastAsia="Times New Roman" w:hAnsi="Traditional Arabic" w:cs="Traditional Arabic"/>
          <w:sz w:val="32"/>
          <w:szCs w:val="32"/>
        </w:rPr>
        <w:t>.</w:t>
      </w:r>
      <w:r>
        <w:rPr>
          <w:rStyle w:val="Appelnotedebasdep"/>
          <w:rFonts w:ascii="Traditional Arabic" w:eastAsia="Times New Roman" w:hAnsi="Traditional Arabic" w:cs="Traditional Arabic"/>
          <w:sz w:val="32"/>
          <w:szCs w:val="32"/>
        </w:rPr>
        <w:footnoteReference w:id="4"/>
      </w:r>
    </w:p>
    <w:p w14:paraId="0CA3811D" w14:textId="77777777" w:rsidR="0091194F" w:rsidRPr="0091194F" w:rsidRDefault="0091194F" w:rsidP="0099106E">
      <w:pPr>
        <w:bidi/>
        <w:spacing w:after="0"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ومن مجموع التعريفات، يمكن القول إن التوريق هو</w:t>
      </w:r>
      <w:r>
        <w:rPr>
          <w:rFonts w:ascii="Traditional Arabic" w:eastAsia="Times New Roman" w:hAnsi="Traditional Arabic" w:cs="Traditional Arabic"/>
          <w:sz w:val="32"/>
          <w:szCs w:val="32"/>
        </w:rPr>
        <w:t>:</w:t>
      </w:r>
      <w:r>
        <w:rPr>
          <w:rFonts w:ascii="Traditional Arabic" w:eastAsia="Times New Roman" w:hAnsi="Traditional Arabic" w:cs="Traditional Arabic"/>
          <w:sz w:val="32"/>
          <w:szCs w:val="32"/>
        </w:rPr>
        <w:br/>
      </w:r>
      <w:r>
        <w:rPr>
          <w:rFonts w:ascii="Traditional Arabic" w:eastAsia="Times New Roman" w:hAnsi="Traditional Arabic" w:cs="Traditional Arabic"/>
          <w:sz w:val="32"/>
          <w:szCs w:val="32"/>
          <w:rtl/>
        </w:rPr>
        <w:t>عملية مالية يتم بموجبها نقل مجموعة من الأصول الائتمانية أو التدفقات النقدية المستقبلية من ميزانية البنك إلى شركة ذات غرض خاص، التي تقوم بدورها بإصدار أوراق مالية يتم بيعها للمستثمرين، على أن تكون خدمة الدين مضمونة بالتدفقات النقدية الخاصة بالأصول المورّقة</w:t>
      </w:r>
      <w:r>
        <w:rPr>
          <w:rFonts w:ascii="Traditional Arabic" w:eastAsia="Times New Roman" w:hAnsi="Traditional Arabic" w:cs="Traditional Arabic"/>
          <w:sz w:val="32"/>
          <w:szCs w:val="32"/>
        </w:rPr>
        <w:t>.</w:t>
      </w:r>
    </w:p>
    <w:p w14:paraId="779CE88F" w14:textId="77777777" w:rsidR="0091194F" w:rsidRPr="00EE0B13" w:rsidRDefault="00EE0B13" w:rsidP="0099106E">
      <w:pPr>
        <w:bidi/>
        <w:spacing w:after="0" w:line="240" w:lineRule="auto"/>
        <w:rPr>
          <w:rFonts w:ascii="Traditional Arabic" w:eastAsia="Times New Roman" w:hAnsi="Traditional Arabic" w:cs="Traditional Arabic"/>
          <w:b/>
          <w:bCs/>
          <w:sz w:val="36"/>
          <w:szCs w:val="36"/>
        </w:rPr>
      </w:pPr>
      <w:proofErr w:type="gramStart"/>
      <w:r>
        <w:rPr>
          <w:rFonts w:ascii="Traditional Arabic" w:eastAsia="Times New Roman" w:hAnsi="Traditional Arabic" w:cs="Traditional Arabic" w:hint="cs"/>
          <w:b/>
          <w:bCs/>
          <w:sz w:val="36"/>
          <w:szCs w:val="36"/>
          <w:rtl/>
        </w:rPr>
        <w:t>الفرع  الثاني</w:t>
      </w:r>
      <w:proofErr w:type="gramEnd"/>
      <w:r>
        <w:rPr>
          <w:rFonts w:ascii="Traditional Arabic" w:eastAsia="Times New Roman" w:hAnsi="Traditional Arabic" w:cs="Traditional Arabic" w:hint="cs"/>
          <w:b/>
          <w:bCs/>
          <w:sz w:val="36"/>
          <w:szCs w:val="36"/>
          <w:rtl/>
        </w:rPr>
        <w:t xml:space="preserve"> </w:t>
      </w:r>
      <w:r>
        <w:rPr>
          <w:rFonts w:ascii="Traditional Arabic" w:eastAsia="Times New Roman" w:hAnsi="Traditional Arabic" w:cs="Traditional Arabic"/>
          <w:b/>
          <w:bCs/>
          <w:sz w:val="36"/>
          <w:szCs w:val="36"/>
          <w:rtl/>
        </w:rPr>
        <w:t>: شروط نجاح عملية التوريق</w:t>
      </w:r>
    </w:p>
    <w:p w14:paraId="5992AA89" w14:textId="77777777" w:rsidR="0091194F" w:rsidRPr="0091194F" w:rsidRDefault="00E50309" w:rsidP="0099106E">
      <w:pPr>
        <w:bidi/>
        <w:spacing w:after="0"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1.</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جودة الأصول المختارة</w:t>
      </w:r>
    </w:p>
    <w:p w14:paraId="6AA53BE2" w14:textId="77777777" w:rsidR="0091194F" w:rsidRDefault="0091194F" w:rsidP="0099106E">
      <w:pPr>
        <w:bidi/>
        <w:spacing w:after="0" w:line="240" w:lineRule="auto"/>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يشترط أن تكون الأصول محل التوريق ذات قدرة منتظمة على توليد التدفقات النقدية، وأن تكون مخاطر تعثرها محدودة وقابلة للتنبؤ. وقد شدّد الطيب خوري على أنّ "نجاح التوريق يتوقف على جودة المحفظة الائتمانية" لأن أي ضعف في الأصول ينتقل مباشرة إلى المستثمرين</w:t>
      </w:r>
      <w:r>
        <w:rPr>
          <w:rStyle w:val="Appelnotedebasdep"/>
          <w:rFonts w:ascii="Traditional Arabic" w:eastAsia="Times New Roman" w:hAnsi="Traditional Arabic" w:cs="Traditional Arabic"/>
          <w:sz w:val="32"/>
          <w:szCs w:val="32"/>
          <w:rtl/>
        </w:rPr>
        <w:footnoteReference w:id="5"/>
      </w:r>
      <w:r>
        <w:rPr>
          <w:rFonts w:ascii="Traditional Arabic" w:eastAsia="Times New Roman" w:hAnsi="Traditional Arabic" w:cs="Traditional Arabic"/>
          <w:sz w:val="32"/>
          <w:szCs w:val="32"/>
        </w:rPr>
        <w:t>.</w:t>
      </w:r>
    </w:p>
    <w:p w14:paraId="5FF73F71" w14:textId="77777777" w:rsidR="0091194F" w:rsidRPr="0091194F" w:rsidRDefault="00E50309" w:rsidP="0099106E">
      <w:pPr>
        <w:bidi/>
        <w:spacing w:after="0"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2.</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إمكانية نقل الملكية القانونية للأصول</w:t>
      </w:r>
    </w:p>
    <w:p w14:paraId="2B49B2EF" w14:textId="77777777" w:rsidR="0091194F" w:rsidRPr="0091194F" w:rsidRDefault="0091194F" w:rsidP="0099106E">
      <w:pPr>
        <w:bidi/>
        <w:spacing w:after="0"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التوريق لا يتم إلا إذا سمح الإطار القانوني بنقل الملكية من البنك إلى شركة الغرض الخاص، بشكل نهائي وغير قابل للرجوع. وهذا الشرط أكد عليه عبد الله الشلوي معتبرًا إياه جوهر العملية لأنه يفصل مخاطر الأصول عن مخاطر البنك</w:t>
      </w:r>
      <w:r>
        <w:rPr>
          <w:rStyle w:val="Appelnotedebasdep"/>
          <w:rFonts w:ascii="Traditional Arabic" w:eastAsia="Times New Roman" w:hAnsi="Traditional Arabic" w:cs="Traditional Arabic"/>
          <w:sz w:val="32"/>
          <w:szCs w:val="32"/>
          <w:rtl/>
        </w:rPr>
        <w:footnoteReference w:id="6"/>
      </w:r>
      <w:r>
        <w:rPr>
          <w:rFonts w:ascii="Traditional Arabic" w:eastAsia="Times New Roman" w:hAnsi="Traditional Arabic" w:cs="Traditional Arabic"/>
          <w:sz w:val="32"/>
          <w:szCs w:val="32"/>
        </w:rPr>
        <w:t>.</w:t>
      </w:r>
    </w:p>
    <w:p w14:paraId="45624F58" w14:textId="77777777" w:rsidR="0091194F" w:rsidRPr="0091194F" w:rsidRDefault="00E50309" w:rsidP="0099106E">
      <w:pPr>
        <w:bidi/>
        <w:spacing w:after="0"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3.</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وجود شركة ذات غرض خاص</w:t>
      </w:r>
      <w:r>
        <w:rPr>
          <w:rFonts w:ascii="Traditional Arabic" w:eastAsia="Times New Roman" w:hAnsi="Traditional Arabic" w:cs="Traditional Arabic"/>
          <w:b/>
          <w:bCs/>
          <w:sz w:val="32"/>
          <w:szCs w:val="32"/>
        </w:rPr>
        <w:t xml:space="preserve"> SPV</w:t>
      </w:r>
    </w:p>
    <w:p w14:paraId="678AB89C" w14:textId="77777777" w:rsidR="0091194F" w:rsidRDefault="0091194F" w:rsidP="0099106E">
      <w:pPr>
        <w:bidi/>
        <w:spacing w:after="0" w:line="240" w:lineRule="auto"/>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 xml:space="preserve">وهي شركة مستقلة مهمتها شراء الأصول وإصدار الأوراق المالية. وتكمن أهميتها في عزل الأصل عن الإفلاس المحتمل للبنك المورق، كما أشار إلى ذلك </w:t>
      </w:r>
      <w:r>
        <w:rPr>
          <w:rFonts w:ascii="Traditional Arabic" w:eastAsia="Times New Roman" w:hAnsi="Traditional Arabic" w:cs="Traditional Arabic"/>
          <w:b/>
          <w:bCs/>
          <w:sz w:val="32"/>
          <w:szCs w:val="32"/>
          <w:rtl/>
        </w:rPr>
        <w:t>عبد السلام خليل</w:t>
      </w:r>
      <w:r>
        <w:rPr>
          <w:rFonts w:ascii="Traditional Arabic" w:eastAsia="Times New Roman" w:hAnsi="Traditional Arabic" w:cs="Traditional Arabic"/>
          <w:sz w:val="32"/>
          <w:szCs w:val="32"/>
          <w:rtl/>
        </w:rPr>
        <w:t xml:space="preserve"> في حديثه عن "العزل الائتماني"</w:t>
      </w:r>
      <w:r>
        <w:rPr>
          <w:rFonts w:ascii="Traditional Arabic" w:eastAsia="Times New Roman" w:hAnsi="Traditional Arabic" w:cs="Traditional Arabic" w:hint="cs"/>
          <w:sz w:val="32"/>
          <w:szCs w:val="32"/>
          <w:rtl/>
        </w:rPr>
        <w:t>.</w:t>
      </w:r>
      <w:r>
        <w:rPr>
          <w:rStyle w:val="Appelnotedebasdep"/>
          <w:rFonts w:ascii="Traditional Arabic" w:eastAsia="Times New Roman" w:hAnsi="Traditional Arabic" w:cs="Traditional Arabic"/>
          <w:sz w:val="32"/>
          <w:szCs w:val="32"/>
          <w:rtl/>
        </w:rPr>
        <w:footnoteReference w:id="7"/>
      </w:r>
    </w:p>
    <w:p w14:paraId="4FD92A1D" w14:textId="77777777" w:rsidR="0099106E" w:rsidRDefault="0099106E" w:rsidP="0099106E">
      <w:pPr>
        <w:bidi/>
        <w:spacing w:after="0" w:line="240" w:lineRule="auto"/>
        <w:rPr>
          <w:rFonts w:ascii="Traditional Arabic" w:eastAsia="Times New Roman" w:hAnsi="Traditional Arabic" w:cs="Traditional Arabic"/>
          <w:sz w:val="32"/>
          <w:szCs w:val="32"/>
          <w:rtl/>
        </w:rPr>
      </w:pPr>
    </w:p>
    <w:p w14:paraId="59317486" w14:textId="77777777" w:rsidR="0099106E" w:rsidRDefault="0099106E" w:rsidP="0099106E">
      <w:pPr>
        <w:bidi/>
        <w:spacing w:after="0" w:line="240" w:lineRule="auto"/>
        <w:rPr>
          <w:rFonts w:ascii="Traditional Arabic" w:eastAsia="Times New Roman" w:hAnsi="Traditional Arabic" w:cs="Traditional Arabic"/>
          <w:sz w:val="32"/>
          <w:szCs w:val="32"/>
          <w:rtl/>
        </w:rPr>
      </w:pPr>
    </w:p>
    <w:p w14:paraId="59501849" w14:textId="77777777" w:rsidR="0099106E" w:rsidRDefault="0099106E" w:rsidP="0099106E">
      <w:pPr>
        <w:bidi/>
        <w:spacing w:after="0" w:line="240" w:lineRule="auto"/>
        <w:rPr>
          <w:rFonts w:ascii="Traditional Arabic" w:eastAsia="Times New Roman" w:hAnsi="Traditional Arabic" w:cs="Traditional Arabic"/>
          <w:sz w:val="32"/>
          <w:szCs w:val="32"/>
          <w:rtl/>
        </w:rPr>
      </w:pPr>
    </w:p>
    <w:p w14:paraId="70C0A007" w14:textId="77777777" w:rsidR="0091194F" w:rsidRPr="0091194F" w:rsidRDefault="00E50309" w:rsidP="0099106E">
      <w:pPr>
        <w:bidi/>
        <w:spacing w:after="0"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lastRenderedPageBreak/>
        <w:t>4.</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وجود سوق مالية فعالة</w:t>
      </w:r>
    </w:p>
    <w:p w14:paraId="28C821E2" w14:textId="77777777" w:rsidR="0091194F" w:rsidRPr="0091194F" w:rsidRDefault="0091194F" w:rsidP="0099106E">
      <w:pPr>
        <w:bidi/>
        <w:spacing w:after="0"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لنجاح التوريق يجب توفر سوق قادرة على استيعاب الأوراق المالية الجديدة، وهو ما يشير إليه </w:t>
      </w:r>
      <w:r>
        <w:rPr>
          <w:rFonts w:ascii="Traditional Arabic" w:eastAsia="Times New Roman" w:hAnsi="Traditional Arabic" w:cs="Traditional Arabic"/>
          <w:b/>
          <w:bCs/>
          <w:sz w:val="32"/>
          <w:szCs w:val="32"/>
          <w:rtl/>
        </w:rPr>
        <w:t>محمد عبد النبي</w:t>
      </w:r>
      <w:r>
        <w:rPr>
          <w:rFonts w:ascii="Traditional Arabic" w:eastAsia="Times New Roman" w:hAnsi="Traditional Arabic" w:cs="Traditional Arabic"/>
          <w:sz w:val="32"/>
          <w:szCs w:val="32"/>
          <w:rtl/>
        </w:rPr>
        <w:t xml:space="preserve"> حين اعتبر ضعف السوق المالية العربية أحد أسباب محدودية استخدام التوريق</w:t>
      </w:r>
      <w:r>
        <w:rPr>
          <w:rFonts w:ascii="Traditional Arabic" w:eastAsia="Times New Roman" w:hAnsi="Traditional Arabic" w:cs="Traditional Arabic" w:hint="cs"/>
          <w:sz w:val="32"/>
          <w:szCs w:val="32"/>
          <w:rtl/>
        </w:rPr>
        <w:t>.</w:t>
      </w:r>
      <w:r>
        <w:rPr>
          <w:rStyle w:val="Appelnotedebasdep"/>
          <w:rFonts w:ascii="Traditional Arabic" w:eastAsia="Times New Roman" w:hAnsi="Traditional Arabic" w:cs="Traditional Arabic"/>
          <w:sz w:val="32"/>
          <w:szCs w:val="32"/>
          <w:rtl/>
        </w:rPr>
        <w:footnoteReference w:id="8"/>
      </w:r>
    </w:p>
    <w:p w14:paraId="20C89FF7" w14:textId="77777777" w:rsidR="0091194F" w:rsidRPr="0091194F" w:rsidRDefault="00E50309" w:rsidP="0099106E">
      <w:pPr>
        <w:bidi/>
        <w:spacing w:after="0"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5.</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خضوع العملية للتصنيف الائتماني</w:t>
      </w:r>
    </w:p>
    <w:p w14:paraId="4BAD776F" w14:textId="77777777" w:rsidR="0091194F" w:rsidRPr="0091194F" w:rsidRDefault="0091194F"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وهو عنصر تنظيمي أساسي، لأنه يمنح المستثمرين ثقة أكبر في الأوراق الصادرة. وقد أكد </w:t>
      </w:r>
      <w:r>
        <w:rPr>
          <w:rFonts w:ascii="Traditional Arabic" w:eastAsia="Times New Roman" w:hAnsi="Traditional Arabic" w:cs="Traditional Arabic"/>
          <w:b/>
          <w:bCs/>
          <w:sz w:val="32"/>
          <w:szCs w:val="32"/>
          <w:rtl/>
        </w:rPr>
        <w:t>زياد عرفة</w:t>
      </w:r>
      <w:r>
        <w:rPr>
          <w:rFonts w:ascii="Traditional Arabic" w:eastAsia="Times New Roman" w:hAnsi="Traditional Arabic" w:cs="Traditional Arabic"/>
          <w:sz w:val="32"/>
          <w:szCs w:val="32"/>
          <w:rtl/>
        </w:rPr>
        <w:t xml:space="preserve"> دور وكالات التصنيف في تقييم مخاطر المنتجات المالية المبنية على الأصول</w:t>
      </w:r>
      <w:r>
        <w:rPr>
          <w:rStyle w:val="Appelnotedebasdep"/>
          <w:rFonts w:ascii="Traditional Arabic" w:eastAsia="Times New Roman" w:hAnsi="Traditional Arabic" w:cs="Traditional Arabic"/>
          <w:sz w:val="32"/>
          <w:szCs w:val="32"/>
          <w:rtl/>
        </w:rPr>
        <w:footnoteReference w:id="9"/>
      </w:r>
      <w:r>
        <w:rPr>
          <w:rFonts w:ascii="Traditional Arabic" w:eastAsia="Times New Roman" w:hAnsi="Traditional Arabic" w:cs="Traditional Arabic"/>
          <w:sz w:val="32"/>
          <w:szCs w:val="32"/>
        </w:rPr>
        <w:t>.</w:t>
      </w:r>
    </w:p>
    <w:p w14:paraId="58CBB9B6" w14:textId="77777777" w:rsidR="0091194F" w:rsidRPr="0091194F"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6.</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توافر الإفصاح والشفافية</w:t>
      </w:r>
    </w:p>
    <w:p w14:paraId="1AA05389" w14:textId="77777777" w:rsidR="0091194F" w:rsidRDefault="0091194F" w:rsidP="0099106E">
      <w:pPr>
        <w:bidi/>
        <w:spacing w:before="100" w:beforeAutospacing="1" w:after="100" w:afterAutospacing="1" w:line="240" w:lineRule="auto"/>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تتطلب العملية تقارير دورية دقيقة حول أداء الأصول، لأن المستثمر يعتمد اعتمادًا كليًا على التدفقات النقدية لهذه الأصول</w:t>
      </w:r>
      <w:r>
        <w:rPr>
          <w:rStyle w:val="Appelnotedebasdep"/>
          <w:rFonts w:ascii="Traditional Arabic" w:eastAsia="Times New Roman" w:hAnsi="Traditional Arabic" w:cs="Traditional Arabic"/>
          <w:sz w:val="32"/>
          <w:szCs w:val="32"/>
          <w:rtl/>
        </w:rPr>
        <w:footnoteReference w:id="10"/>
      </w:r>
      <w:r>
        <w:rPr>
          <w:rFonts w:ascii="Traditional Arabic" w:eastAsia="Times New Roman" w:hAnsi="Traditional Arabic" w:cs="Traditional Arabic"/>
          <w:sz w:val="32"/>
          <w:szCs w:val="32"/>
        </w:rPr>
        <w:t>.</w:t>
      </w:r>
    </w:p>
    <w:p w14:paraId="13B16F23" w14:textId="77777777" w:rsidR="0091194F" w:rsidRP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hint="cs"/>
          <w:b/>
          <w:bCs/>
          <w:sz w:val="36"/>
          <w:szCs w:val="36"/>
          <w:rtl/>
        </w:rPr>
        <w:t>الفرع الثالث</w:t>
      </w:r>
      <w:r>
        <w:rPr>
          <w:rFonts w:ascii="Traditional Arabic" w:eastAsia="Times New Roman" w:hAnsi="Traditional Arabic" w:cs="Traditional Arabic"/>
          <w:b/>
          <w:bCs/>
          <w:sz w:val="36"/>
          <w:szCs w:val="36"/>
          <w:rtl/>
        </w:rPr>
        <w:t>: أهداف التوريق</w:t>
      </w:r>
    </w:p>
    <w:p w14:paraId="19014651" w14:textId="77777777" w:rsidR="0091194F" w:rsidRPr="0091194F"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1.</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تعزيز السيولة لدى البنوك</w:t>
      </w:r>
    </w:p>
    <w:p w14:paraId="60F35888" w14:textId="77777777" w:rsidR="0091194F" w:rsidRPr="0091194F" w:rsidRDefault="0091194F"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تقوم البنوك من خلال التوريق بتحويل أصولها الائتمانية طويلة الأجل إلى سيولة فورية، مما يحسن قدرتها على تمويل نشاطاتها الائتمانية. وقد اعتبر </w:t>
      </w:r>
      <w:r>
        <w:rPr>
          <w:rFonts w:ascii="Traditional Arabic" w:eastAsia="Times New Roman" w:hAnsi="Traditional Arabic" w:cs="Traditional Arabic"/>
          <w:b/>
          <w:bCs/>
          <w:sz w:val="32"/>
          <w:szCs w:val="32"/>
          <w:rtl/>
        </w:rPr>
        <w:t>عبد الرحمن يسري</w:t>
      </w:r>
      <w:r>
        <w:rPr>
          <w:rFonts w:ascii="Traditional Arabic" w:eastAsia="Times New Roman" w:hAnsi="Traditional Arabic" w:cs="Traditional Arabic"/>
          <w:sz w:val="32"/>
          <w:szCs w:val="32"/>
          <w:rtl/>
        </w:rPr>
        <w:t xml:space="preserve"> أنّ التوريق "وسيلة لتحرير السيولة المحتجزة في الأصول المجمدة"</w:t>
      </w:r>
      <w:r>
        <w:rPr>
          <w:rFonts w:ascii="Traditional Arabic" w:eastAsia="Times New Roman" w:hAnsi="Traditional Arabic" w:cs="Traditional Arabic" w:hint="cs"/>
          <w:sz w:val="32"/>
          <w:szCs w:val="32"/>
          <w:rtl/>
        </w:rPr>
        <w:t>.</w:t>
      </w:r>
      <w:r>
        <w:rPr>
          <w:rStyle w:val="Appelnotedebasdep"/>
          <w:rFonts w:ascii="Traditional Arabic" w:eastAsia="Times New Roman" w:hAnsi="Traditional Arabic" w:cs="Traditional Arabic"/>
          <w:sz w:val="32"/>
          <w:szCs w:val="32"/>
          <w:rtl/>
        </w:rPr>
        <w:footnoteReference w:id="11"/>
      </w:r>
    </w:p>
    <w:p w14:paraId="729841B4" w14:textId="77777777" w:rsidR="0091194F" w:rsidRPr="0091194F"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2.</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تخفيض مخاطر الائتمان</w:t>
      </w:r>
    </w:p>
    <w:p w14:paraId="561D9099" w14:textId="77777777" w:rsidR="0091194F" w:rsidRDefault="0091194F" w:rsidP="0099106E">
      <w:pPr>
        <w:bidi/>
        <w:spacing w:before="100" w:beforeAutospacing="1" w:after="100" w:afterAutospacing="1" w:line="240" w:lineRule="auto"/>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نقل الأصول إلى</w:t>
      </w:r>
      <w:r>
        <w:rPr>
          <w:rFonts w:ascii="Traditional Arabic" w:eastAsia="Times New Roman" w:hAnsi="Traditional Arabic" w:cs="Traditional Arabic"/>
          <w:sz w:val="32"/>
          <w:szCs w:val="32"/>
        </w:rPr>
        <w:t xml:space="preserve"> SPV </w:t>
      </w:r>
      <w:r>
        <w:rPr>
          <w:rFonts w:ascii="Traditional Arabic" w:eastAsia="Times New Roman" w:hAnsi="Traditional Arabic" w:cs="Traditional Arabic"/>
          <w:sz w:val="32"/>
          <w:szCs w:val="32"/>
          <w:rtl/>
        </w:rPr>
        <w:t xml:space="preserve">يعني فصل المخاطر الائتمانية عن البنك. وأشار </w:t>
      </w:r>
      <w:r>
        <w:rPr>
          <w:rFonts w:ascii="Traditional Arabic" w:eastAsia="Times New Roman" w:hAnsi="Traditional Arabic" w:cs="Traditional Arabic"/>
          <w:b/>
          <w:bCs/>
          <w:sz w:val="32"/>
          <w:szCs w:val="32"/>
          <w:rtl/>
        </w:rPr>
        <w:t>عبد الله الشلوي</w:t>
      </w:r>
      <w:r>
        <w:rPr>
          <w:rFonts w:ascii="Traditional Arabic" w:eastAsia="Times New Roman" w:hAnsi="Traditional Arabic" w:cs="Traditional Arabic"/>
          <w:sz w:val="32"/>
          <w:szCs w:val="32"/>
          <w:rtl/>
        </w:rPr>
        <w:t xml:space="preserve"> إلى أنّ هذا الفصل "يعيد توزيع المخاطر على شريحة واسعة من المستثمرين"</w:t>
      </w:r>
      <w:r>
        <w:rPr>
          <w:rFonts w:ascii="Traditional Arabic" w:eastAsia="Times New Roman" w:hAnsi="Traditional Arabic" w:cs="Traditional Arabic"/>
          <w:sz w:val="32"/>
          <w:szCs w:val="32"/>
        </w:rPr>
        <w:t>.</w:t>
      </w:r>
    </w:p>
    <w:p w14:paraId="47412150" w14:textId="77777777" w:rsidR="0091194F" w:rsidRPr="0091194F"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3.</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تحسين المؤشرات المالية والامتثال لبازل</w:t>
      </w:r>
    </w:p>
    <w:p w14:paraId="28A7CAD6" w14:textId="77777777" w:rsidR="0091194F" w:rsidRPr="0091194F" w:rsidRDefault="0091194F"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يساهم التوريق في تخفيض الأصول المرجحة بالمخاطر، مما يرفع من نسب رأس المال وفق بازل 2 و3</w:t>
      </w:r>
      <w:r>
        <w:rPr>
          <w:rFonts w:ascii="Traditional Arabic" w:eastAsia="Times New Roman" w:hAnsi="Traditional Arabic" w:cs="Traditional Arabic"/>
          <w:sz w:val="32"/>
          <w:szCs w:val="32"/>
        </w:rPr>
        <w:t>.</w:t>
      </w:r>
    </w:p>
    <w:p w14:paraId="481D463D" w14:textId="77777777" w:rsidR="0091194F" w:rsidRPr="0091194F"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lastRenderedPageBreak/>
        <w:t>4.</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تخفيض تكلفة التمويل</w:t>
      </w:r>
    </w:p>
    <w:p w14:paraId="261C6B7A" w14:textId="77777777" w:rsidR="0091194F" w:rsidRPr="0091194F" w:rsidRDefault="0091194F"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غالبًا ما تكون تكلفة الأوراق المالية المدعومة بالأصول أقل من تكلفة الاقتراض المباشر للبنك، نظرًا لكون الأصل نفسه هو الضمان</w:t>
      </w:r>
      <w:r>
        <w:rPr>
          <w:rStyle w:val="Appelnotedebasdep"/>
          <w:rFonts w:ascii="Traditional Arabic" w:eastAsia="Times New Roman" w:hAnsi="Traditional Arabic" w:cs="Traditional Arabic"/>
          <w:sz w:val="32"/>
          <w:szCs w:val="32"/>
          <w:rtl/>
        </w:rPr>
        <w:footnoteReference w:id="12"/>
      </w:r>
      <w:r>
        <w:rPr>
          <w:rFonts w:ascii="Traditional Arabic" w:eastAsia="Times New Roman" w:hAnsi="Traditional Arabic" w:cs="Traditional Arabic"/>
          <w:sz w:val="32"/>
          <w:szCs w:val="32"/>
        </w:rPr>
        <w:t>.</w:t>
      </w:r>
    </w:p>
    <w:p w14:paraId="2B53EE94" w14:textId="77777777" w:rsidR="0091194F" w:rsidRPr="0091194F"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5.</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تنويع الأدوات الاستثمارية وتعميق الأسواق المالية</w:t>
      </w:r>
    </w:p>
    <w:p w14:paraId="4DF473A3" w14:textId="77777777" w:rsidR="0091194F" w:rsidRPr="006C01FD" w:rsidRDefault="0091194F"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يساعد التوريق في طرح أدوات مالية جديدة مثل</w:t>
      </w:r>
      <w:r>
        <w:rPr>
          <w:rFonts w:ascii="Traditional Arabic" w:eastAsia="Times New Roman" w:hAnsi="Traditional Arabic" w:cs="Traditional Arabic"/>
          <w:sz w:val="32"/>
          <w:szCs w:val="32"/>
        </w:rPr>
        <w:t>:</w:t>
      </w:r>
    </w:p>
    <w:p w14:paraId="3605262F" w14:textId="77777777" w:rsidR="0091194F" w:rsidRPr="006C01FD" w:rsidRDefault="0091194F" w:rsidP="0099106E">
      <w:pPr>
        <w:numPr>
          <w:ilvl w:val="0"/>
          <w:numId w:val="8"/>
        </w:numPr>
        <w:bidi/>
        <w:spacing w:after="0"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الأوراق المالية المدعومة بالرهن العقاري</w:t>
      </w:r>
      <w:r>
        <w:rPr>
          <w:rFonts w:ascii="Traditional Arabic" w:eastAsia="Times New Roman" w:hAnsi="Traditional Arabic" w:cs="Traditional Arabic"/>
          <w:sz w:val="32"/>
          <w:szCs w:val="32"/>
        </w:rPr>
        <w:t xml:space="preserve"> (MBS) </w:t>
      </w:r>
    </w:p>
    <w:p w14:paraId="7E96971D" w14:textId="77777777" w:rsidR="0091194F" w:rsidRPr="006C01FD" w:rsidRDefault="0091194F" w:rsidP="0099106E">
      <w:pPr>
        <w:numPr>
          <w:ilvl w:val="0"/>
          <w:numId w:val="8"/>
        </w:numPr>
        <w:bidi/>
        <w:spacing w:after="0"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الأوراق المدعومة بقروض استهلاكية</w:t>
      </w:r>
      <w:r>
        <w:rPr>
          <w:rFonts w:ascii="Traditional Arabic" w:eastAsia="Times New Roman" w:hAnsi="Traditional Arabic" w:cs="Traditional Arabic"/>
          <w:sz w:val="32"/>
          <w:szCs w:val="32"/>
        </w:rPr>
        <w:t xml:space="preserve"> (ABS) </w:t>
      </w:r>
    </w:p>
    <w:p w14:paraId="72301CA8" w14:textId="77777777" w:rsidR="0091194F" w:rsidRPr="006C01FD" w:rsidRDefault="0091194F" w:rsidP="0099106E">
      <w:pPr>
        <w:numPr>
          <w:ilvl w:val="0"/>
          <w:numId w:val="8"/>
        </w:numPr>
        <w:bidi/>
        <w:spacing w:after="0"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أوراق مدعومة بالإيجار طويل الأجل </w:t>
      </w:r>
    </w:p>
    <w:p w14:paraId="3AC8533D" w14:textId="77777777" w:rsidR="0091194F" w:rsidRDefault="0091194F" w:rsidP="0099106E">
      <w:pPr>
        <w:bidi/>
        <w:spacing w:after="0"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وقد أشار محمد عبد النبي إلى أنها تُعد من الأدوات المساهمة في "توسيع قاعدة الاستثمار"</w:t>
      </w:r>
      <w:r>
        <w:rPr>
          <w:rFonts w:ascii="Traditional Arabic" w:eastAsia="Times New Roman" w:hAnsi="Traditional Arabic" w:cs="Traditional Arabic"/>
          <w:sz w:val="32"/>
          <w:szCs w:val="32"/>
        </w:rPr>
        <w:t>.</w:t>
      </w:r>
      <w:r>
        <w:rPr>
          <w:rStyle w:val="Appelnotedebasdep"/>
          <w:rFonts w:ascii="Traditional Arabic" w:eastAsia="Times New Roman" w:hAnsi="Traditional Arabic" w:cs="Traditional Arabic"/>
          <w:sz w:val="32"/>
          <w:szCs w:val="32"/>
        </w:rPr>
        <w:footnoteReference w:id="13"/>
      </w:r>
    </w:p>
    <w:p w14:paraId="322E2EE4" w14:textId="77777777" w:rsidR="005B4E80" w:rsidRDefault="005B4E80"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30C9B19A" w14:textId="77777777" w:rsidR="005B4E80" w:rsidRDefault="005B4E80" w:rsidP="005B4E80">
      <w:pPr>
        <w:bidi/>
        <w:spacing w:before="100" w:beforeAutospacing="1" w:after="100" w:afterAutospacing="1" w:line="240" w:lineRule="auto"/>
        <w:rPr>
          <w:rFonts w:ascii="Traditional Arabic" w:eastAsia="Times New Roman" w:hAnsi="Traditional Arabic" w:cs="Traditional Arabic"/>
          <w:b/>
          <w:bCs/>
          <w:sz w:val="36"/>
          <w:szCs w:val="36"/>
          <w:rtl/>
        </w:rPr>
      </w:pPr>
    </w:p>
    <w:p w14:paraId="44AF3371" w14:textId="77777777" w:rsidR="005B4E80" w:rsidRDefault="005B4E80" w:rsidP="005B4E80">
      <w:pPr>
        <w:bidi/>
        <w:spacing w:before="100" w:beforeAutospacing="1" w:after="100" w:afterAutospacing="1" w:line="240" w:lineRule="auto"/>
        <w:rPr>
          <w:rFonts w:ascii="Traditional Arabic" w:eastAsia="Times New Roman" w:hAnsi="Traditional Arabic" w:cs="Traditional Arabic"/>
          <w:b/>
          <w:bCs/>
          <w:sz w:val="36"/>
          <w:szCs w:val="36"/>
          <w:rtl/>
        </w:rPr>
      </w:pPr>
    </w:p>
    <w:p w14:paraId="10554F5E" w14:textId="77777777" w:rsidR="005B4E80" w:rsidRDefault="005B4E80" w:rsidP="005B4E80">
      <w:pPr>
        <w:bidi/>
        <w:spacing w:before="100" w:beforeAutospacing="1" w:after="100" w:afterAutospacing="1" w:line="240" w:lineRule="auto"/>
        <w:rPr>
          <w:rFonts w:ascii="Traditional Arabic" w:eastAsia="Times New Roman" w:hAnsi="Traditional Arabic" w:cs="Traditional Arabic"/>
          <w:b/>
          <w:bCs/>
          <w:sz w:val="36"/>
          <w:szCs w:val="36"/>
          <w:rtl/>
        </w:rPr>
      </w:pPr>
    </w:p>
    <w:p w14:paraId="33D29068" w14:textId="77777777" w:rsidR="005B4E80" w:rsidRDefault="005B4E80" w:rsidP="005B4E80">
      <w:pPr>
        <w:bidi/>
        <w:spacing w:before="100" w:beforeAutospacing="1" w:after="100" w:afterAutospacing="1" w:line="240" w:lineRule="auto"/>
        <w:rPr>
          <w:rFonts w:ascii="Traditional Arabic" w:eastAsia="Times New Roman" w:hAnsi="Traditional Arabic" w:cs="Traditional Arabic"/>
          <w:b/>
          <w:bCs/>
          <w:sz w:val="36"/>
          <w:szCs w:val="36"/>
          <w:rtl/>
        </w:rPr>
      </w:pPr>
    </w:p>
    <w:p w14:paraId="2FFAB5A8" w14:textId="77777777" w:rsidR="005B4E80" w:rsidRDefault="005B4E80" w:rsidP="005B4E80">
      <w:pPr>
        <w:bidi/>
        <w:spacing w:before="100" w:beforeAutospacing="1" w:after="100" w:afterAutospacing="1" w:line="240" w:lineRule="auto"/>
        <w:rPr>
          <w:rFonts w:ascii="Traditional Arabic" w:eastAsia="Times New Roman" w:hAnsi="Traditional Arabic" w:cs="Traditional Arabic"/>
          <w:b/>
          <w:bCs/>
          <w:sz w:val="36"/>
          <w:szCs w:val="36"/>
          <w:rtl/>
        </w:rPr>
      </w:pPr>
    </w:p>
    <w:p w14:paraId="4017B9A2" w14:textId="77777777" w:rsidR="005B4E80" w:rsidRDefault="005B4E80" w:rsidP="005B4E80">
      <w:pPr>
        <w:bidi/>
        <w:spacing w:before="100" w:beforeAutospacing="1" w:after="100" w:afterAutospacing="1" w:line="240" w:lineRule="auto"/>
        <w:rPr>
          <w:rFonts w:ascii="Traditional Arabic" w:eastAsia="Times New Roman" w:hAnsi="Traditional Arabic" w:cs="Traditional Arabic"/>
          <w:b/>
          <w:bCs/>
          <w:sz w:val="36"/>
          <w:szCs w:val="36"/>
          <w:rtl/>
        </w:rPr>
      </w:pPr>
    </w:p>
    <w:p w14:paraId="69396041" w14:textId="77777777" w:rsidR="005B4E80" w:rsidRDefault="005B4E80" w:rsidP="005B4E80">
      <w:pPr>
        <w:bidi/>
        <w:spacing w:before="100" w:beforeAutospacing="1" w:after="100" w:afterAutospacing="1" w:line="240" w:lineRule="auto"/>
        <w:rPr>
          <w:rFonts w:ascii="Traditional Arabic" w:eastAsia="Times New Roman" w:hAnsi="Traditional Arabic" w:cs="Traditional Arabic"/>
          <w:b/>
          <w:bCs/>
          <w:sz w:val="36"/>
          <w:szCs w:val="36"/>
          <w:rtl/>
        </w:rPr>
      </w:pPr>
    </w:p>
    <w:p w14:paraId="592E86BD" w14:textId="77777777" w:rsidR="006C01FD" w:rsidRPr="00E968AB" w:rsidRDefault="006C01FD" w:rsidP="005B4E80">
      <w:pPr>
        <w:bidi/>
        <w:spacing w:before="100" w:beforeAutospacing="1" w:after="100" w:afterAutospacing="1"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lastRenderedPageBreak/>
        <w:t>المطلب الثاني: آليات التوريق المصرفي</w:t>
      </w:r>
    </w:p>
    <w:p w14:paraId="68F3D46E" w14:textId="77777777" w:rsidR="006C01FD" w:rsidRPr="00A479E5" w:rsidRDefault="006C01FD" w:rsidP="0099106E">
      <w:pPr>
        <w:bidi/>
        <w:spacing w:before="100" w:beforeAutospacing="1" w:after="100" w:afterAutospacing="1"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تقوم عملية التوريق المصرفي على مجموعة من الآليات المتكاملة التي تجعل منها أداة مالية متقدمة تعتمد على تحويل الأصول غير السائلة إلى أوراق مالية قابلة للتداول في السوق. وتمتاز هذه العملية بتعدد الأطراف وتدرج الخطوات، إضافة إلى تنوع الأصول التي يمكن توريقها. ويشير العديد من الباحثين في المالية، مثل عبد الحميد علي موسى و</w:t>
      </w:r>
      <w:r>
        <w:rPr>
          <w:rFonts w:ascii="Traditional Arabic" w:eastAsia="Times New Roman" w:hAnsi="Traditional Arabic" w:cs="Traditional Arabic"/>
          <w:sz w:val="32"/>
          <w:szCs w:val="32"/>
        </w:rPr>
        <w:t>**</w:t>
      </w:r>
      <w:r>
        <w:rPr>
          <w:rFonts w:ascii="Traditional Arabic" w:eastAsia="Times New Roman" w:hAnsi="Traditional Arabic" w:cs="Traditional Arabic"/>
          <w:sz w:val="32"/>
          <w:szCs w:val="32"/>
          <w:rtl/>
        </w:rPr>
        <w:t>عبد السلام خليل</w:t>
      </w:r>
      <w:r>
        <w:rPr>
          <w:rFonts w:ascii="Traditional Arabic" w:eastAsia="Times New Roman" w:hAnsi="Traditional Arabic" w:cs="Traditional Arabic"/>
          <w:sz w:val="32"/>
          <w:szCs w:val="32"/>
        </w:rPr>
        <w:t>**</w:t>
      </w:r>
      <w:r>
        <w:rPr>
          <w:rFonts w:ascii="Traditional Arabic" w:eastAsia="Times New Roman" w:hAnsi="Traditional Arabic" w:cs="Traditional Arabic"/>
          <w:sz w:val="32"/>
          <w:szCs w:val="32"/>
          <w:rtl/>
        </w:rPr>
        <w:t>، إلى أنّ فهم آليات التوريق يُعدّ شرطًا أساسياً لنجاحه، لأنه يحدد طبيعة العلاقات القانونية والمالية بين الجهات المتدخلة، ويبين كيفية إصدار الأوراق المالية وإدارتها وتوزيع المخاطر المرتبطة بها</w:t>
      </w:r>
      <w:r>
        <w:rPr>
          <w:rFonts w:ascii="Traditional Arabic" w:eastAsia="Times New Roman" w:hAnsi="Traditional Arabic" w:cs="Traditional Arabic"/>
          <w:sz w:val="32"/>
          <w:szCs w:val="32"/>
        </w:rPr>
        <w:t>.</w:t>
      </w:r>
    </w:p>
    <w:p w14:paraId="6D295CA5" w14:textId="77777777" w:rsidR="006C01FD" w:rsidRPr="006C01FD" w:rsidRDefault="006C01FD" w:rsidP="0099106E">
      <w:pPr>
        <w:bidi/>
        <w:spacing w:before="100" w:beforeAutospacing="1" w:after="100" w:afterAutospacing="1"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وتتميز آليات التوريق بكونها عملية مركّبة تشمل نقل الملكية، العزل الائتماني، إنشاء شركة ذات غرض خاص، تقييم ائتماني، إصدار أوراق مالية، توزيع تدفقات، وإفصاح مستمر. ولذلك فإنّ نجاح التوريق يتطلب توفر بيئة تشريعية ومالية تسمح بتطبيق هذه الآليات بصورة سليمة، بما يحقق الهدف الأساسي وهو تحويل الأصول الائتمانية طويلة الأجل إلى سيولة فورية مع توزيع المخاطر على المستثمرين</w:t>
      </w:r>
      <w:r>
        <w:rPr>
          <w:rFonts w:ascii="Traditional Arabic" w:eastAsia="Times New Roman" w:hAnsi="Traditional Arabic" w:cs="Traditional Arabic"/>
          <w:sz w:val="32"/>
          <w:szCs w:val="32"/>
        </w:rPr>
        <w:t>.</w:t>
      </w:r>
    </w:p>
    <w:p w14:paraId="66D41A3A" w14:textId="77777777" w:rsidR="006C01FD" w:rsidRP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hint="cs"/>
          <w:b/>
          <w:bCs/>
          <w:sz w:val="36"/>
          <w:szCs w:val="36"/>
          <w:rtl/>
        </w:rPr>
        <w:t>الفرع الاول</w:t>
      </w:r>
      <w:r>
        <w:rPr>
          <w:rFonts w:ascii="Traditional Arabic" w:eastAsia="Times New Roman" w:hAnsi="Traditional Arabic" w:cs="Traditional Arabic"/>
          <w:b/>
          <w:bCs/>
          <w:sz w:val="36"/>
          <w:szCs w:val="36"/>
          <w:rtl/>
        </w:rPr>
        <w:t>: الأطراف المتدخلة في عملية التوريق</w:t>
      </w:r>
    </w:p>
    <w:p w14:paraId="71FF1FAC"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تتضمن عمليات التوريق مجموعة من الأطراف التي تتقاطع أدوارها وتتكامل في تنفيذ العملية. ومن أهم هذه الأطراف</w:t>
      </w:r>
      <w:r>
        <w:rPr>
          <w:rFonts w:ascii="Traditional Arabic" w:eastAsia="Times New Roman" w:hAnsi="Traditional Arabic" w:cs="Traditional Arabic"/>
          <w:sz w:val="32"/>
          <w:szCs w:val="32"/>
        </w:rPr>
        <w:t>:</w:t>
      </w:r>
    </w:p>
    <w:p w14:paraId="636F0C4F"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1.</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الجهة المورّقة (البنك أو المؤسسة المالية</w:t>
      </w:r>
      <w:r>
        <w:rPr>
          <w:rFonts w:ascii="Traditional Arabic" w:eastAsia="Times New Roman" w:hAnsi="Traditional Arabic" w:cs="Traditional Arabic" w:hint="cs"/>
          <w:b/>
          <w:bCs/>
          <w:sz w:val="32"/>
          <w:szCs w:val="32"/>
          <w:rtl/>
        </w:rPr>
        <w:t>)</w:t>
      </w:r>
    </w:p>
    <w:p w14:paraId="3638123C"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وهي الجهة التي تمتلك الأصول الائتمانية المراد توريقها، وتلجأ إلى العملية عادة بهدف</w:t>
      </w:r>
      <w:r>
        <w:rPr>
          <w:rFonts w:ascii="Traditional Arabic" w:eastAsia="Times New Roman" w:hAnsi="Traditional Arabic" w:cs="Traditional Arabic"/>
          <w:sz w:val="32"/>
          <w:szCs w:val="32"/>
        </w:rPr>
        <w:t>:</w:t>
      </w:r>
    </w:p>
    <w:p w14:paraId="202051FA" w14:textId="77777777" w:rsidR="006C01FD" w:rsidRPr="006C01FD" w:rsidRDefault="006C01FD" w:rsidP="0099106E">
      <w:pPr>
        <w:numPr>
          <w:ilvl w:val="0"/>
          <w:numId w:val="9"/>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تعزيز السيولة، </w:t>
      </w:r>
    </w:p>
    <w:p w14:paraId="12F5B6EB" w14:textId="77777777" w:rsidR="006C01FD" w:rsidRPr="006C01FD" w:rsidRDefault="006C01FD" w:rsidP="0099106E">
      <w:pPr>
        <w:numPr>
          <w:ilvl w:val="0"/>
          <w:numId w:val="9"/>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تخفيض المخاطر، </w:t>
      </w:r>
    </w:p>
    <w:p w14:paraId="777719B4" w14:textId="77777777" w:rsidR="006C01FD" w:rsidRPr="006C01FD" w:rsidRDefault="006C01FD" w:rsidP="0099106E">
      <w:pPr>
        <w:numPr>
          <w:ilvl w:val="0"/>
          <w:numId w:val="9"/>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تحسين نسب الملاءة، </w:t>
      </w:r>
    </w:p>
    <w:p w14:paraId="2F220168" w14:textId="77777777" w:rsidR="006C01FD" w:rsidRPr="006C01FD" w:rsidRDefault="006C01FD" w:rsidP="0099106E">
      <w:pPr>
        <w:numPr>
          <w:ilvl w:val="0"/>
          <w:numId w:val="9"/>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تحرير الميزانية من الأصول الثقيلة</w:t>
      </w:r>
      <w:r>
        <w:rPr>
          <w:rFonts w:ascii="Traditional Arabic" w:eastAsia="Times New Roman" w:hAnsi="Traditional Arabic" w:cs="Traditional Arabic"/>
          <w:sz w:val="32"/>
          <w:szCs w:val="32"/>
        </w:rPr>
        <w:t xml:space="preserve">. </w:t>
      </w:r>
    </w:p>
    <w:p w14:paraId="469CC5BA" w14:textId="77777777" w:rsidR="006C01FD" w:rsidRPr="00E968AB"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ويشير عبد الله الشلوي إلى أن الجهة المورّقة تظل مسؤولة في كثير من الأحيان عن خدمة القروض بعد تحويلها، أي أنها تستمر في تحصيل الأقساط لصالح شركة الغرض الخاص</w:t>
      </w:r>
      <w:r>
        <w:rPr>
          <w:rStyle w:val="Appelnotedebasdep"/>
          <w:rFonts w:ascii="Traditional Arabic" w:eastAsia="Times New Roman" w:hAnsi="Traditional Arabic" w:cs="Traditional Arabic"/>
          <w:sz w:val="32"/>
          <w:szCs w:val="32"/>
          <w:rtl/>
        </w:rPr>
        <w:footnoteReference w:id="14"/>
      </w:r>
      <w:r>
        <w:rPr>
          <w:rFonts w:ascii="Traditional Arabic" w:eastAsia="Times New Roman" w:hAnsi="Traditional Arabic" w:cs="Traditional Arabic"/>
          <w:sz w:val="32"/>
          <w:szCs w:val="32"/>
        </w:rPr>
        <w:t>.</w:t>
      </w:r>
    </w:p>
    <w:p w14:paraId="075A4D56"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lastRenderedPageBreak/>
        <w:t>2.</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شركة ذات غرض خاص</w:t>
      </w:r>
      <w:r>
        <w:rPr>
          <w:rFonts w:ascii="Traditional Arabic" w:eastAsia="Times New Roman" w:hAnsi="Traditional Arabic" w:cs="Traditional Arabic"/>
          <w:b/>
          <w:bCs/>
          <w:sz w:val="32"/>
          <w:szCs w:val="32"/>
        </w:rPr>
        <w:t xml:space="preserve"> (SPV)</w:t>
      </w:r>
    </w:p>
    <w:p w14:paraId="2E558AC6"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وهي أهم كيان في العملية، إذ يتم إنشاؤها خصيصًا لشراء الأصول من البنك المورّق وإصدار الأوراق المالية المدعومة بهذه الأصول. وتتميز الشركة بما يلي</w:t>
      </w:r>
      <w:r>
        <w:rPr>
          <w:rFonts w:ascii="Traditional Arabic" w:eastAsia="Times New Roman" w:hAnsi="Traditional Arabic" w:cs="Traditional Arabic"/>
          <w:sz w:val="32"/>
          <w:szCs w:val="32"/>
        </w:rPr>
        <w:t>:</w:t>
      </w:r>
    </w:p>
    <w:p w14:paraId="22B9A00E" w14:textId="77777777" w:rsidR="006C01FD" w:rsidRPr="006C01FD" w:rsidRDefault="006C01FD" w:rsidP="0099106E">
      <w:pPr>
        <w:numPr>
          <w:ilvl w:val="0"/>
          <w:numId w:val="10"/>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أنها مستقلة قانونيًا وماليًا، </w:t>
      </w:r>
    </w:p>
    <w:p w14:paraId="463DEF8F" w14:textId="77777777" w:rsidR="006C01FD" w:rsidRPr="006C01FD" w:rsidRDefault="006C01FD" w:rsidP="0099106E">
      <w:pPr>
        <w:numPr>
          <w:ilvl w:val="0"/>
          <w:numId w:val="10"/>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تقوم بعزل مخاطر البنك عن مخاطر الأصول، </w:t>
      </w:r>
    </w:p>
    <w:p w14:paraId="511C1CD0" w14:textId="77777777" w:rsidR="006C01FD" w:rsidRPr="006C01FD" w:rsidRDefault="006C01FD" w:rsidP="0099106E">
      <w:pPr>
        <w:numPr>
          <w:ilvl w:val="0"/>
          <w:numId w:val="10"/>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لا تمارس أي نشاط آخر غير التوريق</w:t>
      </w:r>
      <w:r>
        <w:rPr>
          <w:rFonts w:ascii="Traditional Arabic" w:eastAsia="Times New Roman" w:hAnsi="Traditional Arabic" w:cs="Traditional Arabic"/>
          <w:sz w:val="32"/>
          <w:szCs w:val="32"/>
        </w:rPr>
        <w:t xml:space="preserve">. </w:t>
      </w:r>
    </w:p>
    <w:p w14:paraId="3E8A2590" w14:textId="77777777" w:rsidR="006C01FD" w:rsidRPr="00A479E5" w:rsidRDefault="006C01FD" w:rsidP="0099106E">
      <w:pPr>
        <w:bidi/>
        <w:spacing w:before="100" w:beforeAutospacing="1" w:after="100" w:afterAutospacing="1" w:line="240" w:lineRule="auto"/>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وقد أكّد عبد السلام خليل على أنّ إنشاء شركة الغرض الخاص هو الأساس القانوني والعملي لضمان العزل الائتماني</w:t>
      </w:r>
      <w:r>
        <w:rPr>
          <w:rFonts w:ascii="Traditional Arabic" w:eastAsia="Times New Roman" w:hAnsi="Traditional Arabic" w:cs="Traditional Arabic" w:hint="cs"/>
          <w:sz w:val="32"/>
          <w:szCs w:val="32"/>
          <w:rtl/>
        </w:rPr>
        <w:t>.</w:t>
      </w:r>
      <w:r>
        <w:rPr>
          <w:rStyle w:val="Appelnotedebasdep"/>
          <w:rFonts w:ascii="Traditional Arabic" w:eastAsia="Times New Roman" w:hAnsi="Traditional Arabic" w:cs="Traditional Arabic"/>
          <w:sz w:val="32"/>
          <w:szCs w:val="32"/>
          <w:rtl/>
        </w:rPr>
        <w:footnoteReference w:id="15"/>
      </w:r>
    </w:p>
    <w:p w14:paraId="54CFE286"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3.</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المستثمرون (الأفراد والمؤسسات</w:t>
      </w:r>
      <w:r>
        <w:rPr>
          <w:rFonts w:ascii="Traditional Arabic" w:eastAsia="Times New Roman" w:hAnsi="Traditional Arabic" w:cs="Traditional Arabic" w:hint="cs"/>
          <w:b/>
          <w:bCs/>
          <w:sz w:val="32"/>
          <w:szCs w:val="32"/>
          <w:rtl/>
        </w:rPr>
        <w:t>)</w:t>
      </w:r>
    </w:p>
    <w:p w14:paraId="46320705"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يمثلون الجهة التي تشتري الأوراق المالية المدعومة بالأصول. ويختلف مستوى المخاطر حسب طبيعة الشريحة التي يتم الاستثمار فيها، فهناك شرائح ذات مخاطر منخفضة، وأخرى مرتفعة، وهو ما يوفر تنوعًا كبيرًا في أدوات الاستثمار ومعدلات العائد</w:t>
      </w:r>
      <w:r>
        <w:rPr>
          <w:rFonts w:ascii="Traditional Arabic" w:eastAsia="Times New Roman" w:hAnsi="Traditional Arabic" w:cs="Traditional Arabic"/>
          <w:sz w:val="32"/>
          <w:szCs w:val="32"/>
        </w:rPr>
        <w:t>.</w:t>
      </w:r>
    </w:p>
    <w:p w14:paraId="08442A94"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4.</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وكالات التصنيف الائتماني</w:t>
      </w:r>
    </w:p>
    <w:p w14:paraId="3A22287D"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تقوم هذه الوكالات بتقييم مخاطر الأوراق المالية المصدرة، وهي خطوة ضرورية خاصة في الأسواق المتطورة. وقد أكد </w:t>
      </w:r>
      <w:r>
        <w:rPr>
          <w:rFonts w:ascii="Traditional Arabic" w:eastAsia="Times New Roman" w:hAnsi="Traditional Arabic" w:cs="Traditional Arabic"/>
          <w:b/>
          <w:bCs/>
          <w:sz w:val="32"/>
          <w:szCs w:val="32"/>
          <w:rtl/>
        </w:rPr>
        <w:t>زياد عرفة</w:t>
      </w:r>
      <w:r>
        <w:rPr>
          <w:rFonts w:ascii="Traditional Arabic" w:eastAsia="Times New Roman" w:hAnsi="Traditional Arabic" w:cs="Traditional Arabic"/>
          <w:sz w:val="32"/>
          <w:szCs w:val="32"/>
          <w:rtl/>
        </w:rPr>
        <w:t xml:space="preserve"> أن التصنيف الائتماني يمنح العملية مصداقية وثقة ويؤثر في تكلفة التمويل</w:t>
      </w:r>
      <w:r>
        <w:rPr>
          <w:rFonts w:ascii="Traditional Arabic" w:eastAsia="Times New Roman" w:hAnsi="Traditional Arabic" w:cs="Traditional Arabic"/>
          <w:sz w:val="32"/>
          <w:szCs w:val="32"/>
        </w:rPr>
        <w:t>.</w:t>
      </w:r>
      <w:r>
        <w:rPr>
          <w:rStyle w:val="Appelnotedebasdep"/>
          <w:rFonts w:ascii="Traditional Arabic" w:eastAsia="Times New Roman" w:hAnsi="Traditional Arabic" w:cs="Traditional Arabic"/>
          <w:sz w:val="32"/>
          <w:szCs w:val="32"/>
        </w:rPr>
        <w:footnoteReference w:id="16"/>
      </w:r>
    </w:p>
    <w:p w14:paraId="4B780A24"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5.</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المستشار القانوني</w:t>
      </w:r>
    </w:p>
    <w:p w14:paraId="5729F2E6" w14:textId="77777777" w:rsid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يتولى إعداد العقود ونقل الملكية وضمان مطابقة العملية للقوانين المالية والتجارية</w:t>
      </w:r>
      <w:r>
        <w:rPr>
          <w:rFonts w:ascii="Traditional Arabic" w:eastAsia="Times New Roman" w:hAnsi="Traditional Arabic" w:cs="Traditional Arabic"/>
          <w:sz w:val="32"/>
          <w:szCs w:val="32"/>
        </w:rPr>
        <w:t>.</w:t>
      </w:r>
    </w:p>
    <w:p w14:paraId="7F584A00"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6.</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مدير الإصدار</w:t>
      </w:r>
      <w:r>
        <w:rPr>
          <w:rFonts w:ascii="Traditional Arabic" w:eastAsia="Times New Roman" w:hAnsi="Traditional Arabic" w:cs="Traditional Arabic"/>
          <w:b/>
          <w:bCs/>
          <w:sz w:val="32"/>
          <w:szCs w:val="32"/>
        </w:rPr>
        <w:t xml:space="preserve"> (Arranger)</w:t>
      </w:r>
    </w:p>
    <w:p w14:paraId="791BEA24"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وهو غالبًا بنك استثماري يقوم بتنسيق العملية بين الأطراف، وتجميع الأصول، وتحديد هيكلة الشرائح، وإعداد نشرة الإصدار</w:t>
      </w:r>
      <w:r>
        <w:rPr>
          <w:rFonts w:ascii="Traditional Arabic" w:eastAsia="Times New Roman" w:hAnsi="Traditional Arabic" w:cs="Traditional Arabic"/>
          <w:sz w:val="32"/>
          <w:szCs w:val="32"/>
        </w:rPr>
        <w:t>.</w:t>
      </w:r>
    </w:p>
    <w:p w14:paraId="3EF268EE"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lastRenderedPageBreak/>
        <w:t>7.</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أمين الحفظ</w:t>
      </w:r>
      <w:r>
        <w:rPr>
          <w:rFonts w:ascii="Traditional Arabic" w:eastAsia="Times New Roman" w:hAnsi="Traditional Arabic" w:cs="Traditional Arabic"/>
          <w:b/>
          <w:bCs/>
          <w:sz w:val="32"/>
          <w:szCs w:val="32"/>
        </w:rPr>
        <w:t xml:space="preserve"> (Trustee)</w:t>
      </w:r>
    </w:p>
    <w:p w14:paraId="74B0440E"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تتمثل مهمته في ضمان استخدام التدفقات المالية وفق الشروط المحددة في نشرة الإصدار، وأن حقوق المستثمرين محفوظة</w:t>
      </w:r>
      <w:r>
        <w:rPr>
          <w:rFonts w:ascii="Traditional Arabic" w:eastAsia="Times New Roman" w:hAnsi="Traditional Arabic" w:cs="Traditional Arabic"/>
          <w:sz w:val="32"/>
          <w:szCs w:val="32"/>
        </w:rPr>
        <w:t>.</w:t>
      </w:r>
    </w:p>
    <w:p w14:paraId="292FC5DF" w14:textId="77777777" w:rsidR="006C01FD" w:rsidRP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Pr>
      </w:pPr>
      <w:proofErr w:type="gramStart"/>
      <w:r>
        <w:rPr>
          <w:rFonts w:ascii="Traditional Arabic" w:eastAsia="Times New Roman" w:hAnsi="Traditional Arabic" w:cs="Traditional Arabic" w:hint="cs"/>
          <w:b/>
          <w:bCs/>
          <w:sz w:val="36"/>
          <w:szCs w:val="36"/>
          <w:rtl/>
        </w:rPr>
        <w:t>الفرع  الثاني</w:t>
      </w:r>
      <w:proofErr w:type="gramEnd"/>
      <w:r>
        <w:rPr>
          <w:rFonts w:ascii="Traditional Arabic" w:eastAsia="Times New Roman" w:hAnsi="Traditional Arabic" w:cs="Traditional Arabic"/>
          <w:b/>
          <w:bCs/>
          <w:sz w:val="36"/>
          <w:szCs w:val="36"/>
          <w:rtl/>
        </w:rPr>
        <w:t>: أنواع الأصول التي يمكن توريقها</w:t>
      </w:r>
    </w:p>
    <w:p w14:paraId="28C6CE5C"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تختلف الأصول القابلة للتوريق باختلاف الإطار القانوني والبيئة المالية، غير أن معظم الأدبيات المتخصصة تؤكد إمكانية توريق العديد من الأصول، بشرط أن تكون قادرة على توليد تدفقات نقدية مستقرة. ومن أهم أنواع الأصول</w:t>
      </w:r>
      <w:r>
        <w:rPr>
          <w:rFonts w:ascii="Traditional Arabic" w:eastAsia="Times New Roman" w:hAnsi="Traditional Arabic" w:cs="Traditional Arabic"/>
          <w:sz w:val="32"/>
          <w:szCs w:val="32"/>
        </w:rPr>
        <w:t>:</w:t>
      </w:r>
    </w:p>
    <w:p w14:paraId="6DE76ACC"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1.</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القروض العقارية</w:t>
      </w:r>
      <w:r>
        <w:rPr>
          <w:rFonts w:ascii="Traditional Arabic" w:eastAsia="Times New Roman" w:hAnsi="Traditional Arabic" w:cs="Traditional Arabic"/>
          <w:b/>
          <w:bCs/>
          <w:sz w:val="32"/>
          <w:szCs w:val="32"/>
        </w:rPr>
        <w:t xml:space="preserve"> (Mortgage Loans)</w:t>
      </w:r>
    </w:p>
    <w:p w14:paraId="61F909F8"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وهي أكثر أنواع الأصول استخدامًا في التوريق، وتشمل قروض شراء المساكن والعقارات التجارية. وقد شهد العالم توسعًا كبيرًا في توريق هذه الأصول قبل أزمة 2008 كما يشير </w:t>
      </w:r>
      <w:r>
        <w:rPr>
          <w:rFonts w:ascii="Traditional Arabic" w:eastAsia="Times New Roman" w:hAnsi="Traditional Arabic" w:cs="Traditional Arabic"/>
          <w:b/>
          <w:bCs/>
          <w:sz w:val="32"/>
          <w:szCs w:val="32"/>
          <w:rtl/>
        </w:rPr>
        <w:t>الطيب خوري</w:t>
      </w:r>
      <w:r>
        <w:rPr>
          <w:rFonts w:ascii="Traditional Arabic" w:eastAsia="Times New Roman" w:hAnsi="Traditional Arabic" w:cs="Traditional Arabic"/>
          <w:sz w:val="32"/>
          <w:szCs w:val="32"/>
        </w:rPr>
        <w:t>.</w:t>
      </w:r>
      <w:r>
        <w:rPr>
          <w:rStyle w:val="Appelnotedebasdep"/>
          <w:rFonts w:ascii="Traditional Arabic" w:eastAsia="Times New Roman" w:hAnsi="Traditional Arabic" w:cs="Traditional Arabic"/>
          <w:sz w:val="32"/>
          <w:szCs w:val="32"/>
        </w:rPr>
        <w:footnoteReference w:id="17"/>
      </w:r>
    </w:p>
    <w:p w14:paraId="2A0064A8"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2.</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القروض الاستهلاكية</w:t>
      </w:r>
    </w:p>
    <w:p w14:paraId="6C225AA5"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مثل قروض السيارات، القروض الشخصية، وبطاقات الائتمان. وتتميز هذه القروض بتنوع كبير في التدفقات وبقاعدة واسعة من العملاء</w:t>
      </w:r>
      <w:r>
        <w:rPr>
          <w:rFonts w:ascii="Traditional Arabic" w:eastAsia="Times New Roman" w:hAnsi="Traditional Arabic" w:cs="Traditional Arabic"/>
          <w:sz w:val="32"/>
          <w:szCs w:val="32"/>
        </w:rPr>
        <w:t>.</w:t>
      </w:r>
    </w:p>
    <w:p w14:paraId="7CFC4F11"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3.</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عقود الإيجار طويل الأجل</w:t>
      </w:r>
    </w:p>
    <w:p w14:paraId="76724B5D" w14:textId="77777777" w:rsid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يمكن توريق الإيجارات الخاصة بالمباني التجارية، المركبات، وحتى المعدات الصناعية</w:t>
      </w:r>
      <w:r>
        <w:rPr>
          <w:rFonts w:ascii="Traditional Arabic" w:eastAsia="Times New Roman" w:hAnsi="Traditional Arabic" w:cs="Traditional Arabic"/>
          <w:sz w:val="32"/>
          <w:szCs w:val="32"/>
        </w:rPr>
        <w:t>.</w:t>
      </w:r>
    </w:p>
    <w:p w14:paraId="19C2294C"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4.</w:t>
      </w:r>
      <w:r>
        <w:rPr>
          <w:rFonts w:ascii="Traditional Arabic" w:eastAsia="Times New Roman" w:hAnsi="Traditional Arabic" w:cs="Traditional Arabic"/>
          <w:b/>
          <w:bCs/>
          <w:sz w:val="32"/>
          <w:szCs w:val="32"/>
          <w:rtl/>
        </w:rPr>
        <w:t>الفواتير والحقوق التجارية</w:t>
      </w:r>
    </w:p>
    <w:p w14:paraId="48B6FB7C"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وتشمل فواتير الكهرباء والماء والاتصالات، حيث تتميز بتدفقات نقدية منتظمة وصعبة التعثر</w:t>
      </w:r>
      <w:r>
        <w:rPr>
          <w:rFonts w:ascii="Traditional Arabic" w:eastAsia="Times New Roman" w:hAnsi="Traditional Arabic" w:cs="Traditional Arabic" w:hint="cs"/>
          <w:sz w:val="32"/>
          <w:szCs w:val="32"/>
          <w:rtl/>
        </w:rPr>
        <w:t>.</w:t>
      </w:r>
    </w:p>
    <w:p w14:paraId="2EDAAAB3"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5.</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السندات الحكومية أو شبه الحكومية</w:t>
      </w:r>
    </w:p>
    <w:p w14:paraId="15D36906"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في بعض الدول، يتم توريق السندات طويلة الأجل بهدف تخفيف العبء على ميزانيات القطاع العام</w:t>
      </w:r>
    </w:p>
    <w:p w14:paraId="6A70D668"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lastRenderedPageBreak/>
        <w:t xml:space="preserve">ويشير </w:t>
      </w:r>
      <w:r>
        <w:rPr>
          <w:rFonts w:ascii="Traditional Arabic" w:eastAsia="Times New Roman" w:hAnsi="Traditional Arabic" w:cs="Traditional Arabic"/>
          <w:b/>
          <w:bCs/>
          <w:sz w:val="32"/>
          <w:szCs w:val="32"/>
          <w:rtl/>
        </w:rPr>
        <w:t>عبد الرحمن يسري</w:t>
      </w:r>
      <w:r>
        <w:rPr>
          <w:rFonts w:ascii="Traditional Arabic" w:eastAsia="Times New Roman" w:hAnsi="Traditional Arabic" w:cs="Traditional Arabic"/>
          <w:sz w:val="32"/>
          <w:szCs w:val="32"/>
          <w:rtl/>
        </w:rPr>
        <w:t xml:space="preserve"> إلى أنّ تنوع الأصول المورّقة يعدّ مؤشرًا على تطور الأسواق المالية وقدرتها على الابتكار</w:t>
      </w:r>
      <w:r>
        <w:rPr>
          <w:rFonts w:ascii="Traditional Arabic" w:eastAsia="Times New Roman" w:hAnsi="Traditional Arabic" w:cs="Traditional Arabic" w:hint="cs"/>
          <w:sz w:val="32"/>
          <w:szCs w:val="32"/>
          <w:rtl/>
        </w:rPr>
        <w:t>.</w:t>
      </w:r>
      <w:r>
        <w:rPr>
          <w:rStyle w:val="Appelnotedebasdep"/>
          <w:rFonts w:ascii="Traditional Arabic" w:eastAsia="Times New Roman" w:hAnsi="Traditional Arabic" w:cs="Traditional Arabic"/>
          <w:sz w:val="32"/>
          <w:szCs w:val="32"/>
          <w:rtl/>
        </w:rPr>
        <w:footnoteReference w:id="18"/>
      </w:r>
    </w:p>
    <w:p w14:paraId="05DE3BB6" w14:textId="77777777" w:rsidR="006C01FD" w:rsidRP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hint="cs"/>
          <w:b/>
          <w:bCs/>
          <w:sz w:val="36"/>
          <w:szCs w:val="36"/>
          <w:rtl/>
        </w:rPr>
        <w:t>الفرع الثالث</w:t>
      </w:r>
      <w:r>
        <w:rPr>
          <w:rFonts w:ascii="Traditional Arabic" w:eastAsia="Times New Roman" w:hAnsi="Traditional Arabic" w:cs="Traditional Arabic"/>
          <w:b/>
          <w:bCs/>
          <w:sz w:val="36"/>
          <w:szCs w:val="36"/>
          <w:rtl/>
        </w:rPr>
        <w:t>: خطوات عملية التوريق</w:t>
      </w:r>
    </w:p>
    <w:p w14:paraId="39A5661F"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تتم عملية التوريق وفق خطوات متسلسلة متعارف عليها عالميًا، وهي</w:t>
      </w:r>
      <w:r>
        <w:rPr>
          <w:rFonts w:ascii="Traditional Arabic" w:eastAsia="Times New Roman" w:hAnsi="Traditional Arabic" w:cs="Traditional Arabic"/>
          <w:sz w:val="32"/>
          <w:szCs w:val="32"/>
        </w:rPr>
        <w:t>:</w:t>
      </w:r>
    </w:p>
    <w:p w14:paraId="194B8529"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1.</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اختيار الأصول المراد توريقها</w:t>
      </w:r>
    </w:p>
    <w:p w14:paraId="01403DD4"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يتم اختيار محفظة أصول متجانسة تمتاز بالتدفقات المنتظمة ومخاطر منخفضة أو قابلة للقياس. وتعد هذه الخطوة الأكثر أهمية لأنها تحدد جودة الأوراق المالية الصادرة</w:t>
      </w:r>
      <w:r>
        <w:rPr>
          <w:rFonts w:ascii="Traditional Arabic" w:eastAsia="Times New Roman" w:hAnsi="Traditional Arabic" w:cs="Traditional Arabic" w:hint="cs"/>
          <w:sz w:val="32"/>
          <w:szCs w:val="32"/>
          <w:rtl/>
        </w:rPr>
        <w:t>.</w:t>
      </w:r>
      <w:r>
        <w:rPr>
          <w:rStyle w:val="Appelnotedebasdep"/>
          <w:rFonts w:ascii="Traditional Arabic" w:eastAsia="Times New Roman" w:hAnsi="Traditional Arabic" w:cs="Traditional Arabic"/>
          <w:sz w:val="32"/>
          <w:szCs w:val="32"/>
          <w:rtl/>
        </w:rPr>
        <w:footnoteReference w:id="19"/>
      </w:r>
    </w:p>
    <w:p w14:paraId="1890AFE1"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2.</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نقل ملكية الأصول إلى شركة الغرض الخاص</w:t>
      </w:r>
      <w:r>
        <w:rPr>
          <w:rFonts w:ascii="Traditional Arabic" w:eastAsia="Times New Roman" w:hAnsi="Traditional Arabic" w:cs="Traditional Arabic"/>
          <w:b/>
          <w:bCs/>
          <w:sz w:val="32"/>
          <w:szCs w:val="32"/>
        </w:rPr>
        <w:t xml:space="preserve"> (SPV)</w:t>
      </w:r>
    </w:p>
    <w:p w14:paraId="01B8179F"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وتكون عملية النقل قانونية ونهائية، وهو ما يسمى</w:t>
      </w:r>
      <w:r>
        <w:rPr>
          <w:rFonts w:ascii="Traditional Arabic" w:eastAsia="Times New Roman" w:hAnsi="Traditional Arabic" w:cs="Traditional Arabic"/>
          <w:sz w:val="32"/>
          <w:szCs w:val="32"/>
        </w:rPr>
        <w:t xml:space="preserve"> "True Sale". </w:t>
      </w:r>
      <w:r>
        <w:rPr>
          <w:rFonts w:ascii="Traditional Arabic" w:eastAsia="Times New Roman" w:hAnsi="Traditional Arabic" w:cs="Traditional Arabic"/>
          <w:sz w:val="32"/>
          <w:szCs w:val="32"/>
          <w:rtl/>
        </w:rPr>
        <w:t>وتهدف هذه الخطوة إلى عزل الأصول عن مخاطر إفلاس البنك¹</w:t>
      </w:r>
      <w:r>
        <w:rPr>
          <w:rFonts w:ascii="Cambria Math" w:eastAsia="Times New Roman" w:hAnsi="Cambria Math" w:cs="Cambria Math" w:hint="cs"/>
          <w:sz w:val="32"/>
          <w:szCs w:val="32"/>
          <w:rtl/>
        </w:rPr>
        <w:t>⁴</w:t>
      </w:r>
      <w:r>
        <w:rPr>
          <w:rFonts w:ascii="Traditional Arabic" w:eastAsia="Times New Roman" w:hAnsi="Traditional Arabic" w:cs="Traditional Arabic"/>
          <w:sz w:val="32"/>
          <w:szCs w:val="32"/>
        </w:rPr>
        <w:t>.</w:t>
      </w:r>
    </w:p>
    <w:p w14:paraId="0E6ED551"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3.</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هيكلة العملية</w:t>
      </w:r>
      <w:r>
        <w:rPr>
          <w:rFonts w:ascii="Traditional Arabic" w:eastAsia="Times New Roman" w:hAnsi="Traditional Arabic" w:cs="Traditional Arabic"/>
          <w:b/>
          <w:bCs/>
          <w:sz w:val="32"/>
          <w:szCs w:val="32"/>
        </w:rPr>
        <w:t xml:space="preserve"> (Structuring)</w:t>
      </w:r>
    </w:p>
    <w:p w14:paraId="4CFA3625"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يقوم مدير الإصدار بتقسيم الأوراق المالية إلى شرائح مختلفة من حيث</w:t>
      </w:r>
      <w:r>
        <w:rPr>
          <w:rFonts w:ascii="Traditional Arabic" w:eastAsia="Times New Roman" w:hAnsi="Traditional Arabic" w:cs="Traditional Arabic"/>
          <w:sz w:val="32"/>
          <w:szCs w:val="32"/>
        </w:rPr>
        <w:t>:</w:t>
      </w:r>
    </w:p>
    <w:p w14:paraId="35FBF4A2" w14:textId="77777777" w:rsidR="006C01FD" w:rsidRPr="006C01FD" w:rsidRDefault="006C01FD" w:rsidP="0099106E">
      <w:pPr>
        <w:numPr>
          <w:ilvl w:val="0"/>
          <w:numId w:val="11"/>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العائد، </w:t>
      </w:r>
    </w:p>
    <w:p w14:paraId="1DE4BC14" w14:textId="77777777" w:rsidR="006C01FD" w:rsidRPr="006C01FD" w:rsidRDefault="006C01FD" w:rsidP="0099106E">
      <w:pPr>
        <w:numPr>
          <w:ilvl w:val="0"/>
          <w:numId w:val="11"/>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مدة الاستحقاق، </w:t>
      </w:r>
    </w:p>
    <w:p w14:paraId="6B0FFAD8" w14:textId="77777777" w:rsidR="006C01FD" w:rsidRPr="006C01FD" w:rsidRDefault="006C01FD" w:rsidP="0099106E">
      <w:pPr>
        <w:numPr>
          <w:ilvl w:val="0"/>
          <w:numId w:val="11"/>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مستوى المخاطر، </w:t>
      </w:r>
    </w:p>
    <w:p w14:paraId="5F17176B" w14:textId="77777777" w:rsidR="006C01FD" w:rsidRPr="006C01FD" w:rsidRDefault="006C01FD" w:rsidP="0099106E">
      <w:pPr>
        <w:numPr>
          <w:ilvl w:val="0"/>
          <w:numId w:val="11"/>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درجة الأولوية في استلام التدفقات</w:t>
      </w:r>
      <w:r>
        <w:rPr>
          <w:rFonts w:ascii="Traditional Arabic" w:eastAsia="Times New Roman" w:hAnsi="Traditional Arabic" w:cs="Traditional Arabic"/>
          <w:sz w:val="32"/>
          <w:szCs w:val="32"/>
        </w:rPr>
        <w:t xml:space="preserve">. </w:t>
      </w:r>
    </w:p>
    <w:p w14:paraId="13EA53E4"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وقد أشار </w:t>
      </w:r>
      <w:r>
        <w:rPr>
          <w:rFonts w:ascii="Traditional Arabic" w:eastAsia="Times New Roman" w:hAnsi="Traditional Arabic" w:cs="Traditional Arabic"/>
          <w:b/>
          <w:bCs/>
          <w:sz w:val="32"/>
          <w:szCs w:val="32"/>
          <w:rtl/>
        </w:rPr>
        <w:t>عبد الله الشلوي</w:t>
      </w:r>
      <w:r>
        <w:rPr>
          <w:rFonts w:ascii="Traditional Arabic" w:eastAsia="Times New Roman" w:hAnsi="Traditional Arabic" w:cs="Traditional Arabic"/>
          <w:sz w:val="32"/>
          <w:szCs w:val="32"/>
          <w:rtl/>
        </w:rPr>
        <w:t xml:space="preserve"> إلى أنّ الهيكلة الذكية تضمن جذب شرائح مختلفة من المستثمرين</w:t>
      </w:r>
      <w:r>
        <w:rPr>
          <w:rStyle w:val="Appelnotedebasdep"/>
          <w:rFonts w:ascii="Traditional Arabic" w:eastAsia="Times New Roman" w:hAnsi="Traditional Arabic" w:cs="Traditional Arabic"/>
          <w:sz w:val="32"/>
          <w:szCs w:val="32"/>
          <w:rtl/>
        </w:rPr>
        <w:footnoteReference w:id="20"/>
      </w:r>
      <w:r>
        <w:rPr>
          <w:rFonts w:ascii="Traditional Arabic" w:eastAsia="Times New Roman" w:hAnsi="Traditional Arabic" w:cs="Traditional Arabic"/>
          <w:sz w:val="32"/>
          <w:szCs w:val="32"/>
        </w:rPr>
        <w:t>.</w:t>
      </w:r>
    </w:p>
    <w:p w14:paraId="1FA11A83"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4.</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الحصول على التصنيف الائتماني</w:t>
      </w:r>
    </w:p>
    <w:p w14:paraId="0282CE6A"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يفحص المقيمون جودة الأصول، التوقعات المستقبلية للتدفقات، المخاطر القانونية، ودرجة الائتمان للمحفظة</w:t>
      </w:r>
      <w:r>
        <w:rPr>
          <w:rFonts w:ascii="Traditional Arabic" w:eastAsia="Times New Roman" w:hAnsi="Traditional Arabic" w:cs="Traditional Arabic"/>
          <w:sz w:val="32"/>
          <w:szCs w:val="32"/>
        </w:rPr>
        <w:t>.</w:t>
      </w:r>
    </w:p>
    <w:p w14:paraId="6F355C2C"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lastRenderedPageBreak/>
        <w:t>5.</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إصدار الأوراق المالية وطرحها في السوق</w:t>
      </w:r>
    </w:p>
    <w:p w14:paraId="6D1DEF82"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بعد الحصول على التصنيف، يتم إصدار الأوراق المالية وبيعها للمستثمرين عبر الطرح العام أو الخاص</w:t>
      </w:r>
      <w:r>
        <w:rPr>
          <w:rFonts w:ascii="Traditional Arabic" w:eastAsia="Times New Roman" w:hAnsi="Traditional Arabic" w:cs="Traditional Arabic"/>
          <w:sz w:val="32"/>
          <w:szCs w:val="32"/>
        </w:rPr>
        <w:t>.</w:t>
      </w:r>
    </w:p>
    <w:p w14:paraId="307A31CF"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6.</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إدارة التدفقات النقدية</w:t>
      </w:r>
    </w:p>
    <w:p w14:paraId="5AD5951C"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يتولى أمين الحفظ جمع التدفقات من الأصول وتوزيعها على المستثمرين وفق الهيكلة المحددة</w:t>
      </w:r>
      <w:r>
        <w:rPr>
          <w:rFonts w:ascii="Traditional Arabic" w:eastAsia="Times New Roman" w:hAnsi="Traditional Arabic" w:cs="Traditional Arabic"/>
          <w:sz w:val="32"/>
          <w:szCs w:val="32"/>
        </w:rPr>
        <w:t>.</w:t>
      </w:r>
    </w:p>
    <w:p w14:paraId="4EC634E1" w14:textId="77777777" w:rsidR="006C01FD" w:rsidRPr="006C01FD" w:rsidRDefault="00E50309"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7.</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المتابعة والرقابة والإفصاح</w:t>
      </w:r>
    </w:p>
    <w:p w14:paraId="24E7702F" w14:textId="77777777" w:rsidR="006C01FD" w:rsidRPr="006C01FD" w:rsidRDefault="006C01FD"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تستمر شركة</w:t>
      </w:r>
      <w:r>
        <w:rPr>
          <w:rFonts w:ascii="Traditional Arabic" w:eastAsia="Times New Roman" w:hAnsi="Traditional Arabic" w:cs="Traditional Arabic"/>
          <w:sz w:val="32"/>
          <w:szCs w:val="32"/>
        </w:rPr>
        <w:t xml:space="preserve"> SPV </w:t>
      </w:r>
      <w:r>
        <w:rPr>
          <w:rFonts w:ascii="Traditional Arabic" w:eastAsia="Times New Roman" w:hAnsi="Traditional Arabic" w:cs="Traditional Arabic"/>
          <w:sz w:val="32"/>
          <w:szCs w:val="32"/>
          <w:rtl/>
        </w:rPr>
        <w:t>في تقديم تقارير دورية حول أداء الأصول، وهو عنصر حاسم للحفاظ على ثقة المستثمرين</w:t>
      </w:r>
      <w:r>
        <w:rPr>
          <w:rStyle w:val="Appelnotedebasdep"/>
          <w:rFonts w:ascii="Traditional Arabic" w:eastAsia="Times New Roman" w:hAnsi="Traditional Arabic" w:cs="Traditional Arabic"/>
          <w:sz w:val="32"/>
          <w:szCs w:val="32"/>
          <w:rtl/>
        </w:rPr>
        <w:footnoteReference w:id="21"/>
      </w:r>
      <w:r>
        <w:rPr>
          <w:rFonts w:ascii="Traditional Arabic" w:eastAsia="Times New Roman" w:hAnsi="Traditional Arabic" w:cs="Traditional Arabic"/>
          <w:sz w:val="32"/>
          <w:szCs w:val="32"/>
        </w:rPr>
        <w:t>.</w:t>
      </w:r>
    </w:p>
    <w:p w14:paraId="5DC789BF" w14:textId="77777777" w:rsid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tl/>
        </w:rPr>
      </w:pPr>
    </w:p>
    <w:p w14:paraId="4AFC59F3" w14:textId="77777777" w:rsid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tl/>
        </w:rPr>
      </w:pPr>
    </w:p>
    <w:p w14:paraId="4E1398E4" w14:textId="77777777" w:rsid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tl/>
        </w:rPr>
      </w:pPr>
    </w:p>
    <w:p w14:paraId="60DD45F5" w14:textId="77777777" w:rsid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tl/>
        </w:rPr>
      </w:pPr>
    </w:p>
    <w:p w14:paraId="23D1ADC2" w14:textId="77777777" w:rsid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tl/>
        </w:rPr>
      </w:pPr>
    </w:p>
    <w:p w14:paraId="3E03B894" w14:textId="77777777" w:rsid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tl/>
        </w:rPr>
      </w:pPr>
    </w:p>
    <w:p w14:paraId="2FCCDC16" w14:textId="77777777" w:rsidR="005548A8" w:rsidRDefault="005548A8"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6123F50F" w14:textId="77777777" w:rsidR="005548A8" w:rsidRDefault="005548A8"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3B7D1BB6" w14:textId="77777777" w:rsidR="005548A8" w:rsidRDefault="005548A8"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499CF819" w14:textId="77777777" w:rsidR="005548A8" w:rsidRDefault="005548A8"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25E6AEE6" w14:textId="77777777" w:rsidR="00E50309" w:rsidRDefault="00E50309" w:rsidP="0099106E">
      <w:pPr>
        <w:bidi/>
        <w:spacing w:before="100" w:beforeAutospacing="1" w:after="100" w:afterAutospacing="1" w:line="240" w:lineRule="auto"/>
        <w:rPr>
          <w:rFonts w:ascii="Traditional Arabic" w:eastAsia="Times New Roman" w:hAnsi="Traditional Arabic" w:cs="Traditional Arabic"/>
          <w:b/>
          <w:bCs/>
          <w:sz w:val="36"/>
          <w:szCs w:val="36"/>
          <w:rtl/>
        </w:rPr>
      </w:pPr>
    </w:p>
    <w:p w14:paraId="1DD082E7" w14:textId="77777777" w:rsidR="00047884" w:rsidRPr="00EE0B13" w:rsidRDefault="00047884" w:rsidP="0099106E">
      <w:pPr>
        <w:bidi/>
        <w:spacing w:before="100" w:beforeAutospacing="1" w:after="100" w:afterAutospacing="1"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lastRenderedPageBreak/>
        <w:t>المطلب الثالث: دور التوريق في إدارة المخاطر المصرفية</w:t>
      </w:r>
    </w:p>
    <w:p w14:paraId="633A871F" w14:textId="77777777" w:rsidR="00047884" w:rsidRPr="00047884" w:rsidRDefault="00047884" w:rsidP="0099106E">
      <w:pPr>
        <w:bidi/>
        <w:spacing w:before="100" w:beforeAutospacing="1" w:after="100" w:afterAutospacing="1"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يُعتبر التوريق من الأدوات المالية الحديثة التي أحدثت تحولًا عميقًا في كيفية تعامل البنوك مع المخاطر، لاسيما في ظل التطورات المتسارعة في الأنشطة الائتمانية وتنامي التحديات الرقابية والتنظيمية التي فرضتها المعايير الدولية للملاءة والسيولة. وقد أشار عدد من الباحثين العرب، من بينهم </w:t>
      </w:r>
      <w:r>
        <w:rPr>
          <w:rFonts w:ascii="Traditional Arabic" w:eastAsia="Times New Roman" w:hAnsi="Traditional Arabic" w:cs="Traditional Arabic"/>
          <w:b/>
          <w:bCs/>
          <w:sz w:val="32"/>
          <w:szCs w:val="32"/>
          <w:rtl/>
        </w:rPr>
        <w:t>قيس حداد</w:t>
      </w:r>
      <w:r>
        <w:rPr>
          <w:rFonts w:ascii="Traditional Arabic" w:eastAsia="Times New Roman" w:hAnsi="Traditional Arabic" w:cs="Traditional Arabic"/>
          <w:sz w:val="32"/>
          <w:szCs w:val="32"/>
          <w:rtl/>
        </w:rPr>
        <w:t xml:space="preserve"> و</w:t>
      </w:r>
      <w:r>
        <w:rPr>
          <w:rFonts w:ascii="Traditional Arabic" w:eastAsia="Times New Roman" w:hAnsi="Traditional Arabic" w:cs="Traditional Arabic"/>
          <w:sz w:val="32"/>
          <w:szCs w:val="32"/>
        </w:rPr>
        <w:t>**</w:t>
      </w:r>
      <w:r>
        <w:rPr>
          <w:rFonts w:ascii="Traditional Arabic" w:eastAsia="Times New Roman" w:hAnsi="Traditional Arabic" w:cs="Traditional Arabic"/>
          <w:sz w:val="32"/>
          <w:szCs w:val="32"/>
          <w:rtl/>
        </w:rPr>
        <w:t>أحمد بشير</w:t>
      </w:r>
      <w:r>
        <w:rPr>
          <w:rFonts w:ascii="Traditional Arabic" w:eastAsia="Times New Roman" w:hAnsi="Traditional Arabic" w:cs="Traditional Arabic"/>
          <w:sz w:val="32"/>
          <w:szCs w:val="32"/>
        </w:rPr>
        <w:t>**</w:t>
      </w:r>
      <w:r>
        <w:rPr>
          <w:rFonts w:ascii="Traditional Arabic" w:eastAsia="Times New Roman" w:hAnsi="Traditional Arabic" w:cs="Traditional Arabic"/>
          <w:sz w:val="32"/>
          <w:szCs w:val="32"/>
          <w:rtl/>
        </w:rPr>
        <w:t>، إلى أنّ التوريق ليس مجرد عملية تمويلية تهدف إلى تحويل الأصول إلى أوراق مالية، بل هو آلية استراتيجية لإدارة المخاطر داخل البنوك، تُمكّنها من تحسين هيكل الأصول والخصوم، وتوزيع المخاطر، وتحقيق توازن بين العائد والتهديدات المحتملة</w:t>
      </w:r>
      <w:r>
        <w:rPr>
          <w:rFonts w:ascii="Traditional Arabic" w:eastAsia="Times New Roman" w:hAnsi="Traditional Arabic" w:cs="Traditional Arabic"/>
          <w:sz w:val="32"/>
          <w:szCs w:val="32"/>
        </w:rPr>
        <w:t>.</w:t>
      </w:r>
    </w:p>
    <w:p w14:paraId="575E9ABC" w14:textId="77777777" w:rsidR="00047884" w:rsidRPr="00047884" w:rsidRDefault="00047884" w:rsidP="0099106E">
      <w:pPr>
        <w:bidi/>
        <w:spacing w:before="100" w:beforeAutospacing="1" w:after="100" w:afterAutospacing="1"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ويُجمع المتخصصون على أنّ أهم ما يميز التوريق باعتباره أداة لإدارة المخاطر هو أنّه يعتمد على “نقل المخاطر</w:t>
      </w:r>
      <w:r>
        <w:rPr>
          <w:rFonts w:ascii="Traditional Arabic" w:eastAsia="Times New Roman" w:hAnsi="Traditional Arabic" w:cs="Traditional Arabic"/>
          <w:sz w:val="32"/>
          <w:szCs w:val="32"/>
        </w:rPr>
        <w:t xml:space="preserve">” (Risk Transfer) </w:t>
      </w:r>
      <w:r>
        <w:rPr>
          <w:rFonts w:ascii="Traditional Arabic" w:eastAsia="Times New Roman" w:hAnsi="Traditional Arabic" w:cs="Traditional Arabic"/>
          <w:sz w:val="32"/>
          <w:szCs w:val="32"/>
          <w:rtl/>
        </w:rPr>
        <w:t>بدل “التحوّط التقليدي”، ما يجعله جزءًا من استراتيجية أوسع لتحسين صلابة البنوك وقدرتها على مواجهة الأزمات. ويُضاف إلى ذلك أنّ التوريق يساعد البنوك على التحكم في جودة محافظها الائتمانية من خلال عزل الأصول المثقلة بالمخاطر، وتحويلها إلى شركة ذات غرض خاص، وبالتالي فصل المخاطر المرتبطة بها عن باقي ميزانية البنك</w:t>
      </w:r>
      <w:r>
        <w:rPr>
          <w:rFonts w:ascii="Traditional Arabic" w:eastAsia="Times New Roman" w:hAnsi="Traditional Arabic" w:cs="Traditional Arabic"/>
          <w:sz w:val="32"/>
          <w:szCs w:val="32"/>
        </w:rPr>
        <w:t>.</w:t>
      </w:r>
    </w:p>
    <w:p w14:paraId="6362FC68" w14:textId="77777777" w:rsidR="00047884" w:rsidRP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hint="cs"/>
          <w:b/>
          <w:bCs/>
          <w:sz w:val="36"/>
          <w:szCs w:val="36"/>
          <w:rtl/>
        </w:rPr>
        <w:t>الفرع الاول</w:t>
      </w:r>
      <w:r>
        <w:rPr>
          <w:rFonts w:ascii="Traditional Arabic" w:eastAsia="Times New Roman" w:hAnsi="Traditional Arabic" w:cs="Traditional Arabic"/>
          <w:b/>
          <w:bCs/>
          <w:sz w:val="36"/>
          <w:szCs w:val="36"/>
          <w:rtl/>
        </w:rPr>
        <w:t>: علاقة التوريق بالمخاطر المصرفية</w:t>
      </w:r>
    </w:p>
    <w:p w14:paraId="677A0103"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1.</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تخفيض مخاطر الائتمان</w:t>
      </w:r>
    </w:p>
    <w:p w14:paraId="4E85CB1F"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تعتبر مخاطر الائتمان أخطر أنواع المخاطر التي تواجه البنوك، لأنها ترتبط مباشرة بعدم قدرة العملاء على السداد. ويلعب التوريق دورًا رئيسيًا في إدارتها، إذ يقوم على</w:t>
      </w:r>
      <w:r>
        <w:rPr>
          <w:rFonts w:ascii="Traditional Arabic" w:eastAsia="Times New Roman" w:hAnsi="Traditional Arabic" w:cs="Traditional Arabic"/>
          <w:sz w:val="32"/>
          <w:szCs w:val="32"/>
        </w:rPr>
        <w:t>:</w:t>
      </w:r>
    </w:p>
    <w:p w14:paraId="7DCE47D7"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أ. نقل المخاطر من البنك إلى المستثمرين</w:t>
      </w:r>
    </w:p>
    <w:p w14:paraId="6DA6EC4D"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فعند نقل المحفظة الائتمانية إلى شركة الغرض الخاص، تنتقل معها احتمالات التعثر، ليصبح المستثمر حامل الورقة المالية هو الجهة التي تتحمل التغير في التدفقات النقدية الناتجة عن الأصل. وقد أشار </w:t>
      </w:r>
      <w:r>
        <w:rPr>
          <w:rFonts w:ascii="Traditional Arabic" w:eastAsia="Times New Roman" w:hAnsi="Traditional Arabic" w:cs="Traditional Arabic"/>
          <w:b/>
          <w:bCs/>
          <w:sz w:val="32"/>
          <w:szCs w:val="32"/>
          <w:rtl/>
        </w:rPr>
        <w:t>خالد عبد المنعم</w:t>
      </w:r>
      <w:r>
        <w:rPr>
          <w:rFonts w:ascii="Traditional Arabic" w:eastAsia="Times New Roman" w:hAnsi="Traditional Arabic" w:cs="Traditional Arabic"/>
          <w:sz w:val="32"/>
          <w:szCs w:val="32"/>
          <w:rtl/>
        </w:rPr>
        <w:t xml:space="preserve"> إلى أنّ هذه العملية تُعدّ من أهم الابتكارات في إدارة مخاطر الائتمان لأنها</w:t>
      </w:r>
      <w:r>
        <w:rPr>
          <w:rFonts w:ascii="Traditional Arabic" w:eastAsia="Times New Roman" w:hAnsi="Traditional Arabic" w:cs="Traditional Arabic"/>
          <w:sz w:val="32"/>
          <w:szCs w:val="32"/>
        </w:rPr>
        <w:t>:</w:t>
      </w:r>
    </w:p>
    <w:p w14:paraId="37C44713" w14:textId="77777777" w:rsidR="00047884" w:rsidRPr="00047884" w:rsidRDefault="00047884" w:rsidP="0099106E">
      <w:pPr>
        <w:numPr>
          <w:ilvl w:val="0"/>
          <w:numId w:val="12"/>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تعيد تقسيم المخاطر بين أطراف متعددة، </w:t>
      </w:r>
    </w:p>
    <w:p w14:paraId="7FE77C8A" w14:textId="77777777" w:rsidR="00047884" w:rsidRPr="00047884" w:rsidRDefault="00047884" w:rsidP="0099106E">
      <w:pPr>
        <w:numPr>
          <w:ilvl w:val="0"/>
          <w:numId w:val="12"/>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تقلل تركّز القروض عالية المخاطر داخل ميزانية البنك، </w:t>
      </w:r>
    </w:p>
    <w:p w14:paraId="6EA1B5C3" w14:textId="77777777" w:rsidR="00047884" w:rsidRPr="00047884" w:rsidRDefault="00047884" w:rsidP="0099106E">
      <w:pPr>
        <w:numPr>
          <w:ilvl w:val="0"/>
          <w:numId w:val="12"/>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lastRenderedPageBreak/>
        <w:t>تمنح البنك فرصة لإعادة هيكلة محفظته</w:t>
      </w:r>
      <w:r>
        <w:rPr>
          <w:rStyle w:val="Appelnotedebasdep"/>
          <w:rFonts w:ascii="Traditional Arabic" w:eastAsia="Times New Roman" w:hAnsi="Traditional Arabic" w:cs="Traditional Arabic"/>
          <w:sz w:val="32"/>
          <w:szCs w:val="32"/>
          <w:rtl/>
        </w:rPr>
        <w:footnoteReference w:id="22"/>
      </w:r>
      <w:r>
        <w:rPr>
          <w:rFonts w:ascii="Traditional Arabic" w:eastAsia="Times New Roman" w:hAnsi="Traditional Arabic" w:cs="Traditional Arabic"/>
          <w:sz w:val="32"/>
          <w:szCs w:val="32"/>
        </w:rPr>
        <w:t xml:space="preserve">. </w:t>
      </w:r>
    </w:p>
    <w:p w14:paraId="4CC6EEF4"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ب. تحسين جودة محفظة البنك</w:t>
      </w:r>
    </w:p>
    <w:p w14:paraId="06C9DCE3"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من خلال التخلص من القروض ذات المخاطر المرتفعة، تتحسن جودة المحفظة الائتمانية للبنك وترتفع نسبة الأصول ذات الجودة العالية، وهو ما ينعكس إيجابًا على التقييم العام للمؤسسة</w:t>
      </w:r>
      <w:r>
        <w:rPr>
          <w:rFonts w:ascii="Traditional Arabic" w:eastAsia="Times New Roman" w:hAnsi="Traditional Arabic" w:cs="Traditional Arabic"/>
          <w:sz w:val="32"/>
          <w:szCs w:val="32"/>
        </w:rPr>
        <w:t>.</w:t>
      </w:r>
    </w:p>
    <w:p w14:paraId="092BA691"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ج. تجنب تكوين مخصصات مرتفعة</w:t>
      </w:r>
    </w:p>
    <w:p w14:paraId="6AA1C1B2"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التوريق يجعل البنك غير ملزم بتكوين مخصصات كبيرة لمواجهة التعثر، لأن الأصول لم تعد موجودة داخل ميزانيته. وقد ذكر </w:t>
      </w:r>
      <w:r>
        <w:rPr>
          <w:rFonts w:ascii="Traditional Arabic" w:eastAsia="Times New Roman" w:hAnsi="Traditional Arabic" w:cs="Traditional Arabic"/>
          <w:b/>
          <w:bCs/>
          <w:sz w:val="32"/>
          <w:szCs w:val="32"/>
          <w:rtl/>
        </w:rPr>
        <w:t>نبيل مراد</w:t>
      </w:r>
      <w:r>
        <w:rPr>
          <w:rFonts w:ascii="Traditional Arabic" w:eastAsia="Times New Roman" w:hAnsi="Traditional Arabic" w:cs="Traditional Arabic"/>
          <w:sz w:val="32"/>
          <w:szCs w:val="32"/>
          <w:rtl/>
        </w:rPr>
        <w:t xml:space="preserve"> أنّ هذه الآلية تخفف العبء المحاسبي على البنك بشكل كبير</w:t>
      </w:r>
      <w:r>
        <w:rPr>
          <w:rFonts w:ascii="Cambria Math" w:eastAsia="Times New Roman" w:hAnsi="Cambria Math" w:cs="Cambria Math" w:hint="cs"/>
          <w:sz w:val="32"/>
          <w:szCs w:val="32"/>
          <w:rtl/>
        </w:rPr>
        <w:t>.</w:t>
      </w:r>
      <w:r>
        <w:rPr>
          <w:rStyle w:val="Appelnotedebasdep"/>
          <w:rFonts w:ascii="Cambria Math" w:eastAsia="Times New Roman" w:hAnsi="Cambria Math" w:cs="Cambria Math"/>
          <w:sz w:val="32"/>
          <w:szCs w:val="32"/>
          <w:rtl/>
        </w:rPr>
        <w:footnoteReference w:id="23"/>
      </w:r>
    </w:p>
    <w:p w14:paraId="5A90AC45"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2.</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التوريق ومخاطر السوق</w:t>
      </w:r>
      <w:r>
        <w:rPr>
          <w:rFonts w:ascii="Traditional Arabic" w:eastAsia="Times New Roman" w:hAnsi="Traditional Arabic" w:cs="Traditional Arabic"/>
          <w:b/>
          <w:bCs/>
          <w:sz w:val="32"/>
          <w:szCs w:val="32"/>
        </w:rPr>
        <w:t xml:space="preserve"> (Market Risk)</w:t>
      </w:r>
    </w:p>
    <w:p w14:paraId="7B2DAE67"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ترتبط مخاطر السوق بتقلب أسعار الفائدة، تقلب أسعار الأوراق المالية، وتغيرات الظروف الاقتصادية. ويساعد التوريق في الحد من هذه المخاطر من خلال</w:t>
      </w:r>
      <w:r>
        <w:rPr>
          <w:rFonts w:ascii="Traditional Arabic" w:eastAsia="Times New Roman" w:hAnsi="Traditional Arabic" w:cs="Traditional Arabic"/>
          <w:sz w:val="32"/>
          <w:szCs w:val="32"/>
        </w:rPr>
        <w:t>:</w:t>
      </w:r>
    </w:p>
    <w:p w14:paraId="22888F5E" w14:textId="77777777" w:rsidR="00047884" w:rsidRPr="00047884" w:rsidRDefault="00047884" w:rsidP="0099106E">
      <w:pPr>
        <w:numPr>
          <w:ilvl w:val="0"/>
          <w:numId w:val="13"/>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تحويل القروض طويلة الأجل ذات الفائدة الثابتة إلى سيولة حالية، </w:t>
      </w:r>
    </w:p>
    <w:p w14:paraId="6BF0DCFE" w14:textId="77777777" w:rsidR="00047884" w:rsidRPr="00047884" w:rsidRDefault="00047884" w:rsidP="0099106E">
      <w:pPr>
        <w:numPr>
          <w:ilvl w:val="0"/>
          <w:numId w:val="13"/>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تخفيض حساسية البنك تجاه تقلب أسعار الفائدة، </w:t>
      </w:r>
    </w:p>
    <w:p w14:paraId="125ADFEE" w14:textId="77777777" w:rsidR="00047884" w:rsidRPr="00047884" w:rsidRDefault="00047884" w:rsidP="0099106E">
      <w:pPr>
        <w:numPr>
          <w:ilvl w:val="0"/>
          <w:numId w:val="13"/>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تحسين توازن آجال الاستحقاق بين الأصول والخصوم</w:t>
      </w:r>
      <w:r>
        <w:rPr>
          <w:rStyle w:val="Appelnotedebasdep"/>
          <w:rFonts w:ascii="Traditional Arabic" w:eastAsia="Times New Roman" w:hAnsi="Traditional Arabic" w:cs="Traditional Arabic"/>
          <w:sz w:val="32"/>
          <w:szCs w:val="32"/>
          <w:rtl/>
        </w:rPr>
        <w:footnoteReference w:id="24"/>
      </w:r>
      <w:r>
        <w:rPr>
          <w:rFonts w:ascii="Traditional Arabic" w:eastAsia="Times New Roman" w:hAnsi="Traditional Arabic" w:cs="Traditional Arabic"/>
          <w:sz w:val="32"/>
          <w:szCs w:val="32"/>
        </w:rPr>
        <w:t xml:space="preserve">. </w:t>
      </w:r>
    </w:p>
    <w:p w14:paraId="434D776A"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وقد بيّن </w:t>
      </w:r>
      <w:r>
        <w:rPr>
          <w:rFonts w:ascii="Traditional Arabic" w:eastAsia="Times New Roman" w:hAnsi="Traditional Arabic" w:cs="Traditional Arabic"/>
          <w:b/>
          <w:bCs/>
          <w:sz w:val="32"/>
          <w:szCs w:val="32"/>
          <w:rtl/>
        </w:rPr>
        <w:t>حامد خليل</w:t>
      </w:r>
      <w:r>
        <w:rPr>
          <w:rFonts w:ascii="Traditional Arabic" w:eastAsia="Times New Roman" w:hAnsi="Traditional Arabic" w:cs="Traditional Arabic"/>
          <w:sz w:val="32"/>
          <w:szCs w:val="32"/>
          <w:rtl/>
        </w:rPr>
        <w:t xml:space="preserve"> أنّ التوريق يعدّ وسيلة فعّالة لتحييد المخاطر المرتبطة بتغير أسعار الفائدة على المدى الطويل، خاصة لدى البنوك التي تملك محافظ عقارية ضخمة</w:t>
      </w:r>
      <w:r>
        <w:rPr>
          <w:rStyle w:val="Appelnotedebasdep"/>
          <w:rFonts w:ascii="Traditional Arabic" w:eastAsia="Times New Roman" w:hAnsi="Traditional Arabic" w:cs="Traditional Arabic"/>
          <w:sz w:val="32"/>
          <w:szCs w:val="32"/>
          <w:rtl/>
        </w:rPr>
        <w:footnoteReference w:id="25"/>
      </w:r>
      <w:r>
        <w:rPr>
          <w:rFonts w:ascii="Traditional Arabic" w:eastAsia="Times New Roman" w:hAnsi="Traditional Arabic" w:cs="Traditional Arabic"/>
          <w:sz w:val="32"/>
          <w:szCs w:val="32"/>
        </w:rPr>
        <w:t>.</w:t>
      </w:r>
    </w:p>
    <w:p w14:paraId="0DEB0211"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3.</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تأثير التوريق على مخاطر التشغيل</w:t>
      </w:r>
      <w:r>
        <w:rPr>
          <w:rFonts w:ascii="Traditional Arabic" w:eastAsia="Times New Roman" w:hAnsi="Traditional Arabic" w:cs="Traditional Arabic"/>
          <w:b/>
          <w:bCs/>
          <w:sz w:val="32"/>
          <w:szCs w:val="32"/>
        </w:rPr>
        <w:t xml:space="preserve"> (Operational Risk)</w:t>
      </w:r>
    </w:p>
    <w:p w14:paraId="0BBAF084"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مخاطر التشغيل تشمل الأخطاء البشرية والأنظمة والتقنيات، وتزداد حدّتها كلما كانت محفظة البنك أكبر وأكثر تعقيدًا. ويساهم التوريق في تخفيضها عبر</w:t>
      </w:r>
      <w:r>
        <w:rPr>
          <w:rFonts w:ascii="Traditional Arabic" w:eastAsia="Times New Roman" w:hAnsi="Traditional Arabic" w:cs="Traditional Arabic"/>
          <w:sz w:val="32"/>
          <w:szCs w:val="32"/>
        </w:rPr>
        <w:t>:</w:t>
      </w:r>
    </w:p>
    <w:p w14:paraId="1DA99D1F" w14:textId="77777777" w:rsidR="00047884" w:rsidRPr="00047884" w:rsidRDefault="00047884" w:rsidP="0099106E">
      <w:pPr>
        <w:numPr>
          <w:ilvl w:val="0"/>
          <w:numId w:val="14"/>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تقليل حجم الأصول التي تحتاج إلى إدارة مباشرة داخل البنك، </w:t>
      </w:r>
    </w:p>
    <w:p w14:paraId="0EFD6556" w14:textId="77777777" w:rsidR="00047884" w:rsidRPr="00047884" w:rsidRDefault="00047884" w:rsidP="0099106E">
      <w:pPr>
        <w:numPr>
          <w:ilvl w:val="0"/>
          <w:numId w:val="14"/>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نقل عمليات التحصيل والمتابعة إلى شركات متخصصة، </w:t>
      </w:r>
    </w:p>
    <w:p w14:paraId="2A255B20" w14:textId="77777777" w:rsidR="00047884" w:rsidRPr="00047884" w:rsidRDefault="00047884" w:rsidP="0099106E">
      <w:pPr>
        <w:numPr>
          <w:ilvl w:val="0"/>
          <w:numId w:val="14"/>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lastRenderedPageBreak/>
        <w:t>تحسين أنظمة الرقابة نظرًا لوجود جهات مستقلة كأمين الحفظ ومدير الإصدار</w:t>
      </w:r>
      <w:r>
        <w:rPr>
          <w:rStyle w:val="Appelnotedebasdep"/>
          <w:rFonts w:ascii="Traditional Arabic" w:eastAsia="Times New Roman" w:hAnsi="Traditional Arabic" w:cs="Traditional Arabic"/>
          <w:sz w:val="32"/>
          <w:szCs w:val="32"/>
          <w:rtl/>
        </w:rPr>
        <w:footnoteReference w:id="26"/>
      </w:r>
      <w:r>
        <w:rPr>
          <w:rFonts w:ascii="Traditional Arabic" w:eastAsia="Times New Roman" w:hAnsi="Traditional Arabic" w:cs="Traditional Arabic"/>
          <w:sz w:val="32"/>
          <w:szCs w:val="32"/>
        </w:rPr>
        <w:t xml:space="preserve">. </w:t>
      </w:r>
    </w:p>
    <w:p w14:paraId="7625AE04"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كما أن وجود شركة غرض خاص مستقلة يخلق مستوى إضافيًا من الرقابة، ما يقلل احتمالات الاحتيال أو سوء التقدير</w:t>
      </w:r>
      <w:r>
        <w:rPr>
          <w:rFonts w:ascii="Traditional Arabic" w:eastAsia="Times New Roman" w:hAnsi="Traditional Arabic" w:cs="Traditional Arabic"/>
          <w:sz w:val="32"/>
          <w:szCs w:val="32"/>
        </w:rPr>
        <w:t>.</w:t>
      </w:r>
    </w:p>
    <w:p w14:paraId="1E91D607"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4.</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التوريق ومخاطر السيولة</w:t>
      </w:r>
      <w:r>
        <w:rPr>
          <w:rFonts w:ascii="Traditional Arabic" w:eastAsia="Times New Roman" w:hAnsi="Traditional Arabic" w:cs="Traditional Arabic"/>
          <w:b/>
          <w:bCs/>
          <w:sz w:val="32"/>
          <w:szCs w:val="32"/>
        </w:rPr>
        <w:t xml:space="preserve"> (Liquidity Risk)</w:t>
      </w:r>
    </w:p>
    <w:p w14:paraId="5BCC86B6"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تُعدّ السيولة من أكبر مؤشرات الاستقرار المصرفي، ويُساهم التوريق في تحسينها من خلال</w:t>
      </w:r>
      <w:r>
        <w:rPr>
          <w:rFonts w:ascii="Traditional Arabic" w:eastAsia="Times New Roman" w:hAnsi="Traditional Arabic" w:cs="Traditional Arabic"/>
          <w:sz w:val="32"/>
          <w:szCs w:val="32"/>
        </w:rPr>
        <w:t>:</w:t>
      </w:r>
    </w:p>
    <w:p w14:paraId="5058C87C"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أ. تحويل الأصول غير السائلة إلى نقد فوري</w:t>
      </w:r>
    </w:p>
    <w:p w14:paraId="79102B1D"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وهو الدور الأساسي للتوريق، الذي يسمح للبنك بالحصول على سيولة حاضرة بدل انتظار التدفقات المستقبلية. وقد وصف </w:t>
      </w:r>
      <w:r>
        <w:rPr>
          <w:rFonts w:ascii="Traditional Arabic" w:eastAsia="Times New Roman" w:hAnsi="Traditional Arabic" w:cs="Traditional Arabic"/>
          <w:b/>
          <w:bCs/>
          <w:sz w:val="32"/>
          <w:szCs w:val="32"/>
          <w:rtl/>
        </w:rPr>
        <w:t>مصطفى الخطيب</w:t>
      </w:r>
      <w:r>
        <w:rPr>
          <w:rFonts w:ascii="Traditional Arabic" w:eastAsia="Times New Roman" w:hAnsi="Traditional Arabic" w:cs="Traditional Arabic"/>
          <w:sz w:val="32"/>
          <w:szCs w:val="32"/>
          <w:rtl/>
        </w:rPr>
        <w:t xml:space="preserve"> التوريق بأنه “أحد أكثر أدوات تحرير السيولة فعالية”</w:t>
      </w:r>
      <w:r>
        <w:rPr>
          <w:rStyle w:val="Appelnotedebasdep"/>
          <w:rFonts w:ascii="Traditional Arabic" w:eastAsia="Times New Roman" w:hAnsi="Traditional Arabic" w:cs="Traditional Arabic"/>
          <w:sz w:val="32"/>
          <w:szCs w:val="32"/>
          <w:rtl/>
        </w:rPr>
        <w:footnoteReference w:id="27"/>
      </w:r>
      <w:r>
        <w:rPr>
          <w:rFonts w:ascii="Traditional Arabic" w:eastAsia="Times New Roman" w:hAnsi="Traditional Arabic" w:cs="Traditional Arabic"/>
          <w:sz w:val="32"/>
          <w:szCs w:val="32"/>
        </w:rPr>
        <w:t>.</w:t>
      </w:r>
    </w:p>
    <w:p w14:paraId="7C52F137"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ب. تخفيض الفجوة في آجال الاستحقاق</w:t>
      </w:r>
    </w:p>
    <w:p w14:paraId="14FCCA96"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تواجه البنوك عادة فجوة بين آجال استحقاق الأصول (طويلة) والخصوم (قصيرة). ويخفف التوريق من خطورة هذه الفجوة عبر</w:t>
      </w:r>
      <w:r>
        <w:rPr>
          <w:rFonts w:ascii="Traditional Arabic" w:eastAsia="Times New Roman" w:hAnsi="Traditional Arabic" w:cs="Traditional Arabic"/>
          <w:sz w:val="32"/>
          <w:szCs w:val="32"/>
        </w:rPr>
        <w:t>:</w:t>
      </w:r>
    </w:p>
    <w:p w14:paraId="40F49CDB" w14:textId="77777777" w:rsidR="00047884" w:rsidRPr="00047884" w:rsidRDefault="00047884" w:rsidP="0099106E">
      <w:pPr>
        <w:numPr>
          <w:ilvl w:val="0"/>
          <w:numId w:val="1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تقليل حجم الأصول طويلة الأجل، </w:t>
      </w:r>
    </w:p>
    <w:p w14:paraId="03325887" w14:textId="77777777" w:rsidR="00047884" w:rsidRPr="00047884" w:rsidRDefault="00047884" w:rsidP="0099106E">
      <w:pPr>
        <w:numPr>
          <w:ilvl w:val="0"/>
          <w:numId w:val="1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زيادة السيولة قصيرة الأجل، </w:t>
      </w:r>
    </w:p>
    <w:p w14:paraId="3D7AD3CA" w14:textId="77777777" w:rsidR="00047884" w:rsidRPr="00047884" w:rsidRDefault="00047884" w:rsidP="0099106E">
      <w:pPr>
        <w:numPr>
          <w:ilvl w:val="0"/>
          <w:numId w:val="1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تحسين قدرة البنك على مواجهة السحوبات المفاجئة</w:t>
      </w:r>
      <w:r>
        <w:rPr>
          <w:rFonts w:ascii="Traditional Arabic" w:eastAsia="Times New Roman" w:hAnsi="Traditional Arabic" w:cs="Traditional Arabic"/>
          <w:sz w:val="32"/>
          <w:szCs w:val="32"/>
        </w:rPr>
        <w:t xml:space="preserve">. </w:t>
      </w:r>
    </w:p>
    <w:p w14:paraId="2C1BAE53"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ج. تقليل الاعتماد على التمويل الخارجي المكلف</w:t>
      </w:r>
    </w:p>
    <w:p w14:paraId="3CFB6AA3"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يساعد التوريق على تنويع مصادر التمويل بعيدًا عن القروض المكلفة من السوق النقدية أو البنك المركزي</w:t>
      </w:r>
      <w:r>
        <w:rPr>
          <w:rFonts w:ascii="Traditional Arabic" w:eastAsia="Times New Roman" w:hAnsi="Traditional Arabic" w:cs="Traditional Arabic"/>
          <w:sz w:val="32"/>
          <w:szCs w:val="32"/>
        </w:rPr>
        <w:t>.</w:t>
      </w:r>
    </w:p>
    <w:p w14:paraId="1436C9CE" w14:textId="77777777" w:rsidR="00047884" w:rsidRP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b/>
          <w:bCs/>
          <w:sz w:val="36"/>
          <w:szCs w:val="36"/>
          <w:rtl/>
        </w:rPr>
        <w:t xml:space="preserve">الفرع </w:t>
      </w:r>
      <w:proofErr w:type="gramStart"/>
      <w:r>
        <w:rPr>
          <w:rFonts w:ascii="Traditional Arabic" w:eastAsia="Times New Roman" w:hAnsi="Traditional Arabic" w:cs="Traditional Arabic"/>
          <w:b/>
          <w:bCs/>
          <w:sz w:val="36"/>
          <w:szCs w:val="36"/>
          <w:rtl/>
        </w:rPr>
        <w:t>الثاني :</w:t>
      </w:r>
      <w:proofErr w:type="gramEnd"/>
      <w:r>
        <w:rPr>
          <w:rFonts w:ascii="Traditional Arabic" w:eastAsia="Times New Roman" w:hAnsi="Traditional Arabic" w:cs="Traditional Arabic"/>
          <w:b/>
          <w:bCs/>
          <w:sz w:val="36"/>
          <w:szCs w:val="36"/>
          <w:rtl/>
        </w:rPr>
        <w:t xml:space="preserve"> دور التوريق في تخفيض مخاطر السيولة</w:t>
      </w:r>
    </w:p>
    <w:p w14:paraId="14E8AE78" w14:textId="77777777" w:rsid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لتقنية التوريق تأثير مباشر في تحسين سيولة الجهاز المصرفي، ويمكن تلخيص ذلك في النقاط التالية</w:t>
      </w:r>
      <w:r>
        <w:rPr>
          <w:rFonts w:ascii="Traditional Arabic" w:eastAsia="Times New Roman" w:hAnsi="Traditional Arabic" w:cs="Traditional Arabic"/>
          <w:sz w:val="32"/>
          <w:szCs w:val="32"/>
        </w:rPr>
        <w:t>:</w:t>
      </w:r>
    </w:p>
    <w:p w14:paraId="3D79E1C6" w14:textId="77777777" w:rsidR="00011CB3" w:rsidRDefault="00011CB3" w:rsidP="0099106E">
      <w:pPr>
        <w:bidi/>
        <w:spacing w:before="100" w:beforeAutospacing="1" w:after="100" w:afterAutospacing="1" w:line="240" w:lineRule="auto"/>
        <w:rPr>
          <w:rFonts w:ascii="Traditional Arabic" w:eastAsia="Times New Roman" w:hAnsi="Traditional Arabic" w:cs="Traditional Arabic"/>
          <w:sz w:val="32"/>
          <w:szCs w:val="32"/>
          <w:rtl/>
        </w:rPr>
      </w:pPr>
    </w:p>
    <w:p w14:paraId="07D73AE8"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lastRenderedPageBreak/>
        <w:t>1.</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توفير مصدر ثابت ومستمر للسيولة</w:t>
      </w:r>
    </w:p>
    <w:p w14:paraId="66FB7ED1"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بخلاف الأدوات التقليدية، يوفر التوريق سيولة كبيرة وفورية بمجرد بيع الأوراق المالية المدعومة بالأصول، وهو ما يعزز قدرة البنك على تمويل عملياته دون ضغط</w:t>
      </w:r>
      <w:r>
        <w:rPr>
          <w:rFonts w:ascii="Traditional Arabic" w:eastAsia="Times New Roman" w:hAnsi="Traditional Arabic" w:cs="Traditional Arabic"/>
          <w:sz w:val="32"/>
          <w:szCs w:val="32"/>
        </w:rPr>
        <w:t>.</w:t>
      </w:r>
    </w:p>
    <w:p w14:paraId="593CFC07"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2.</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تحسين المؤشرات التنظيمية للسيولة</w:t>
      </w:r>
    </w:p>
    <w:p w14:paraId="139D8C29"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يساهم التوريق في تحسين مؤشرات مثل</w:t>
      </w:r>
      <w:r>
        <w:rPr>
          <w:rFonts w:ascii="Traditional Arabic" w:eastAsia="Times New Roman" w:hAnsi="Traditional Arabic" w:cs="Traditional Arabic"/>
          <w:sz w:val="32"/>
          <w:szCs w:val="32"/>
        </w:rPr>
        <w:t>:</w:t>
      </w:r>
    </w:p>
    <w:p w14:paraId="1E16BECA" w14:textId="77777777" w:rsidR="00047884" w:rsidRPr="00047884" w:rsidRDefault="00047884" w:rsidP="0099106E">
      <w:pPr>
        <w:numPr>
          <w:ilvl w:val="0"/>
          <w:numId w:val="16"/>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نسبة تغطية السيولة</w:t>
      </w:r>
      <w:r>
        <w:rPr>
          <w:rFonts w:ascii="Traditional Arabic" w:eastAsia="Times New Roman" w:hAnsi="Traditional Arabic" w:cs="Traditional Arabic"/>
          <w:sz w:val="32"/>
          <w:szCs w:val="32"/>
        </w:rPr>
        <w:t xml:space="preserve"> (LCR)</w:t>
      </w:r>
      <w:r>
        <w:rPr>
          <w:rFonts w:ascii="Traditional Arabic" w:eastAsia="Times New Roman" w:hAnsi="Traditional Arabic" w:cs="Traditional Arabic"/>
          <w:sz w:val="32"/>
          <w:szCs w:val="32"/>
          <w:rtl/>
        </w:rPr>
        <w:t xml:space="preserve">، </w:t>
      </w:r>
    </w:p>
    <w:p w14:paraId="69A20034" w14:textId="77777777" w:rsidR="00047884" w:rsidRPr="00047884" w:rsidRDefault="00047884" w:rsidP="0099106E">
      <w:pPr>
        <w:numPr>
          <w:ilvl w:val="0"/>
          <w:numId w:val="16"/>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نسبة التمويل المستقر الصافي</w:t>
      </w:r>
      <w:r>
        <w:rPr>
          <w:rFonts w:ascii="Traditional Arabic" w:eastAsia="Times New Roman" w:hAnsi="Traditional Arabic" w:cs="Traditional Arabic"/>
          <w:sz w:val="32"/>
          <w:szCs w:val="32"/>
        </w:rPr>
        <w:t xml:space="preserve"> (NSFR)</w:t>
      </w:r>
      <w:r>
        <w:rPr>
          <w:rFonts w:ascii="Traditional Arabic" w:eastAsia="Times New Roman" w:hAnsi="Traditional Arabic" w:cs="Traditional Arabic"/>
          <w:sz w:val="32"/>
          <w:szCs w:val="32"/>
          <w:rtl/>
        </w:rPr>
        <w:t xml:space="preserve">، </w:t>
      </w:r>
    </w:p>
    <w:p w14:paraId="06EECD45" w14:textId="77777777" w:rsidR="00047884" w:rsidRPr="00047884" w:rsidRDefault="00047884" w:rsidP="0099106E">
      <w:pPr>
        <w:numPr>
          <w:ilvl w:val="0"/>
          <w:numId w:val="16"/>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النسب المرتبطة بالتزامات قصيرة الأجل</w:t>
      </w:r>
      <w:r>
        <w:rPr>
          <w:rFonts w:ascii="Traditional Arabic" w:eastAsia="Times New Roman" w:hAnsi="Traditional Arabic" w:cs="Traditional Arabic"/>
          <w:sz w:val="32"/>
          <w:szCs w:val="32"/>
        </w:rPr>
        <w:t>.</w:t>
      </w:r>
      <w:r>
        <w:rPr>
          <w:rStyle w:val="Appelnotedebasdep"/>
          <w:rFonts w:ascii="Traditional Arabic" w:eastAsia="Times New Roman" w:hAnsi="Traditional Arabic" w:cs="Traditional Arabic"/>
          <w:sz w:val="32"/>
          <w:szCs w:val="32"/>
        </w:rPr>
        <w:footnoteReference w:id="28"/>
      </w:r>
      <w:r>
        <w:rPr>
          <w:rFonts w:ascii="Traditional Arabic" w:eastAsia="Times New Roman" w:hAnsi="Traditional Arabic" w:cs="Traditional Arabic"/>
          <w:sz w:val="32"/>
          <w:szCs w:val="32"/>
        </w:rPr>
        <w:t xml:space="preserve"> </w:t>
      </w:r>
    </w:p>
    <w:p w14:paraId="124585A5"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3.</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زيادة قدرة البنك على الصمود في الأزمات</w:t>
      </w:r>
    </w:p>
    <w:p w14:paraId="1024B98D"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لأن البنوك التي تعتمد على التوريق تملك احتياطات سيولة أعلى، ما يرفع قدرتها على مواجهة</w:t>
      </w:r>
      <w:r>
        <w:rPr>
          <w:rFonts w:ascii="Traditional Arabic" w:eastAsia="Times New Roman" w:hAnsi="Traditional Arabic" w:cs="Traditional Arabic"/>
          <w:sz w:val="32"/>
          <w:szCs w:val="32"/>
        </w:rPr>
        <w:t>:</w:t>
      </w:r>
    </w:p>
    <w:p w14:paraId="6BEF08F2" w14:textId="77777777" w:rsidR="00047884" w:rsidRPr="00047884" w:rsidRDefault="00047884" w:rsidP="0099106E">
      <w:pPr>
        <w:numPr>
          <w:ilvl w:val="0"/>
          <w:numId w:val="17"/>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صدمات السحب، </w:t>
      </w:r>
    </w:p>
    <w:p w14:paraId="4C372AFE" w14:textId="77777777" w:rsidR="00047884" w:rsidRPr="00047884" w:rsidRDefault="00047884" w:rsidP="0099106E">
      <w:pPr>
        <w:numPr>
          <w:ilvl w:val="0"/>
          <w:numId w:val="17"/>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تراجع الودائع، </w:t>
      </w:r>
    </w:p>
    <w:p w14:paraId="7B792E82" w14:textId="77777777" w:rsidR="00047884" w:rsidRPr="00047884" w:rsidRDefault="00047884" w:rsidP="0099106E">
      <w:pPr>
        <w:numPr>
          <w:ilvl w:val="0"/>
          <w:numId w:val="17"/>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ارتفاع تكلفة التمويل</w:t>
      </w:r>
      <w:r>
        <w:rPr>
          <w:rFonts w:ascii="Traditional Arabic" w:eastAsia="Times New Roman" w:hAnsi="Traditional Arabic" w:cs="Traditional Arabic"/>
          <w:sz w:val="32"/>
          <w:szCs w:val="32"/>
        </w:rPr>
        <w:t xml:space="preserve">. </w:t>
      </w:r>
    </w:p>
    <w:p w14:paraId="72FA2211" w14:textId="77777777" w:rsidR="00047884" w:rsidRPr="00EE0B13" w:rsidRDefault="00EE0B13" w:rsidP="0099106E">
      <w:pPr>
        <w:bidi/>
        <w:spacing w:before="100" w:beforeAutospacing="1" w:after="100" w:afterAutospacing="1" w:line="240" w:lineRule="auto"/>
        <w:rPr>
          <w:rFonts w:ascii="Traditional Arabic" w:eastAsia="Times New Roman" w:hAnsi="Traditional Arabic" w:cs="Traditional Arabic"/>
          <w:b/>
          <w:bCs/>
          <w:sz w:val="36"/>
          <w:szCs w:val="36"/>
        </w:rPr>
      </w:pPr>
      <w:r>
        <w:rPr>
          <w:rFonts w:ascii="Traditional Arabic" w:eastAsia="Times New Roman" w:hAnsi="Traditional Arabic" w:cs="Traditional Arabic" w:hint="cs"/>
          <w:b/>
          <w:bCs/>
          <w:sz w:val="36"/>
          <w:szCs w:val="36"/>
          <w:rtl/>
        </w:rPr>
        <w:t xml:space="preserve">الفرع </w:t>
      </w:r>
      <w:proofErr w:type="gramStart"/>
      <w:r>
        <w:rPr>
          <w:rFonts w:ascii="Traditional Arabic" w:eastAsia="Times New Roman" w:hAnsi="Traditional Arabic" w:cs="Traditional Arabic" w:hint="cs"/>
          <w:b/>
          <w:bCs/>
          <w:sz w:val="36"/>
          <w:szCs w:val="36"/>
          <w:rtl/>
        </w:rPr>
        <w:t xml:space="preserve">الثالث </w:t>
      </w:r>
      <w:r>
        <w:rPr>
          <w:rFonts w:ascii="Traditional Arabic" w:eastAsia="Times New Roman" w:hAnsi="Traditional Arabic" w:cs="Traditional Arabic"/>
          <w:b/>
          <w:bCs/>
          <w:sz w:val="36"/>
          <w:szCs w:val="36"/>
          <w:rtl/>
        </w:rPr>
        <w:t>:</w:t>
      </w:r>
      <w:proofErr w:type="gramEnd"/>
      <w:r>
        <w:rPr>
          <w:rFonts w:ascii="Traditional Arabic" w:eastAsia="Times New Roman" w:hAnsi="Traditional Arabic" w:cs="Traditional Arabic"/>
          <w:b/>
          <w:bCs/>
          <w:sz w:val="36"/>
          <w:szCs w:val="36"/>
          <w:rtl/>
        </w:rPr>
        <w:t xml:space="preserve"> التوريق ومتطلبات اتفاقيات بازل</w:t>
      </w:r>
    </w:p>
    <w:p w14:paraId="00F9D54C"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فرضت اتفاقيات بازل معيارًا جديدًا لإدارة المخاطر داخل البنوك، خاصة بعد الأزمات العالمية. ويُعدّ التوريق إحدى الأدوات التي تُمكّن البنوك من الامتثال لهذه المتطلبات</w:t>
      </w:r>
      <w:r>
        <w:rPr>
          <w:rFonts w:ascii="Traditional Arabic" w:eastAsia="Times New Roman" w:hAnsi="Traditional Arabic" w:cs="Traditional Arabic"/>
          <w:sz w:val="32"/>
          <w:szCs w:val="32"/>
        </w:rPr>
        <w:t>.</w:t>
      </w:r>
    </w:p>
    <w:p w14:paraId="0B78867A"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1.</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التوريق وتحسين نسبة كفاية رأس المال</w:t>
      </w:r>
      <w:r>
        <w:rPr>
          <w:rFonts w:ascii="Traditional Arabic" w:eastAsia="Times New Roman" w:hAnsi="Traditional Arabic" w:cs="Traditional Arabic"/>
          <w:b/>
          <w:bCs/>
          <w:sz w:val="32"/>
          <w:szCs w:val="32"/>
        </w:rPr>
        <w:t xml:space="preserve"> (CAR)</w:t>
      </w:r>
    </w:p>
    <w:p w14:paraId="29CB9CD6"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تُحسّن تقنية التوريق نسب كفاية رأس المال عبر</w:t>
      </w:r>
      <w:r>
        <w:rPr>
          <w:rFonts w:ascii="Traditional Arabic" w:eastAsia="Times New Roman" w:hAnsi="Traditional Arabic" w:cs="Traditional Arabic"/>
          <w:sz w:val="32"/>
          <w:szCs w:val="32"/>
        </w:rPr>
        <w:t>:</w:t>
      </w:r>
    </w:p>
    <w:p w14:paraId="034C8AA9" w14:textId="77777777" w:rsidR="00047884" w:rsidRPr="00047884" w:rsidRDefault="00047884" w:rsidP="0099106E">
      <w:pPr>
        <w:numPr>
          <w:ilvl w:val="0"/>
          <w:numId w:val="18"/>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تخفيض الأصول المرجحة بالمخاطر</w:t>
      </w:r>
      <w:r>
        <w:rPr>
          <w:rFonts w:ascii="Traditional Arabic" w:eastAsia="Times New Roman" w:hAnsi="Traditional Arabic" w:cs="Traditional Arabic"/>
          <w:sz w:val="32"/>
          <w:szCs w:val="32"/>
        </w:rPr>
        <w:t xml:space="preserve"> (RWA)</w:t>
      </w:r>
      <w:r>
        <w:rPr>
          <w:rFonts w:ascii="Traditional Arabic" w:eastAsia="Times New Roman" w:hAnsi="Traditional Arabic" w:cs="Traditional Arabic"/>
          <w:sz w:val="32"/>
          <w:szCs w:val="32"/>
          <w:rtl/>
        </w:rPr>
        <w:t xml:space="preserve">، </w:t>
      </w:r>
    </w:p>
    <w:p w14:paraId="2A70271C" w14:textId="77777777" w:rsidR="00047884" w:rsidRPr="00047884" w:rsidRDefault="00047884" w:rsidP="0099106E">
      <w:pPr>
        <w:numPr>
          <w:ilvl w:val="0"/>
          <w:numId w:val="18"/>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رفع نسبة رأس المال الحقيقي إلى المخاطر، </w:t>
      </w:r>
    </w:p>
    <w:p w14:paraId="2B9937BA" w14:textId="77777777" w:rsidR="00047884" w:rsidRPr="00047884" w:rsidRDefault="00047884" w:rsidP="0099106E">
      <w:pPr>
        <w:numPr>
          <w:ilvl w:val="0"/>
          <w:numId w:val="18"/>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lastRenderedPageBreak/>
        <w:t>تقليل العبء الرأسمالي الملقى على البنك نتيجة الاحتفاظ بأصول خطرة</w:t>
      </w:r>
      <w:r>
        <w:rPr>
          <w:rStyle w:val="Appelnotedebasdep"/>
          <w:rFonts w:ascii="Traditional Arabic" w:eastAsia="Times New Roman" w:hAnsi="Traditional Arabic" w:cs="Traditional Arabic"/>
          <w:sz w:val="32"/>
          <w:szCs w:val="32"/>
          <w:rtl/>
        </w:rPr>
        <w:footnoteReference w:id="29"/>
      </w:r>
      <w:r>
        <w:rPr>
          <w:rFonts w:ascii="Traditional Arabic" w:eastAsia="Times New Roman" w:hAnsi="Traditional Arabic" w:cs="Traditional Arabic"/>
          <w:sz w:val="32"/>
          <w:szCs w:val="32"/>
        </w:rPr>
        <w:t xml:space="preserve">. </w:t>
      </w:r>
    </w:p>
    <w:p w14:paraId="2FFBA58A"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ويؤكد </w:t>
      </w:r>
      <w:r>
        <w:rPr>
          <w:rFonts w:ascii="Traditional Arabic" w:eastAsia="Times New Roman" w:hAnsi="Traditional Arabic" w:cs="Traditional Arabic"/>
          <w:b/>
          <w:bCs/>
          <w:sz w:val="32"/>
          <w:szCs w:val="32"/>
          <w:rtl/>
        </w:rPr>
        <w:t>عبد الرزاق قنطاري</w:t>
      </w:r>
      <w:r>
        <w:rPr>
          <w:rFonts w:ascii="Traditional Arabic" w:eastAsia="Times New Roman" w:hAnsi="Traditional Arabic" w:cs="Traditional Arabic"/>
          <w:sz w:val="32"/>
          <w:szCs w:val="32"/>
          <w:rtl/>
        </w:rPr>
        <w:t xml:space="preserve"> أنّ التوريق أصبح جزءًا بنيويًا في سياسة إدارة رأس المال لدى البنوك الحديثة</w:t>
      </w:r>
      <w:r>
        <w:rPr>
          <w:rFonts w:ascii="Traditional Arabic" w:eastAsia="Times New Roman" w:hAnsi="Traditional Arabic" w:cs="Traditional Arabic"/>
          <w:sz w:val="32"/>
          <w:szCs w:val="32"/>
        </w:rPr>
        <w:t>.</w:t>
      </w:r>
      <w:r>
        <w:rPr>
          <w:rStyle w:val="Appelnotedebasdep"/>
          <w:rFonts w:ascii="Traditional Arabic" w:eastAsia="Times New Roman" w:hAnsi="Traditional Arabic" w:cs="Traditional Arabic"/>
          <w:sz w:val="32"/>
          <w:szCs w:val="32"/>
        </w:rPr>
        <w:footnoteReference w:id="30"/>
      </w:r>
    </w:p>
    <w:p w14:paraId="640A5B7C"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2.</w:t>
      </w:r>
      <w:r>
        <w:rPr>
          <w:rFonts w:ascii="Traditional Arabic" w:eastAsia="Times New Roman" w:hAnsi="Traditional Arabic" w:cs="Traditional Arabic"/>
          <w:b/>
          <w:bCs/>
          <w:sz w:val="32"/>
          <w:szCs w:val="32"/>
          <w:rtl/>
        </w:rPr>
        <w:t>التوريق ودعم الاستقرار النظامي</w:t>
      </w:r>
    </w:p>
    <w:p w14:paraId="7C649D04"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تسعى بازل 3 إلى تعزيز قدرة البنوك على امتصاص الصدمات، والتوريق يسهم في ذلك عبر</w:t>
      </w:r>
      <w:r>
        <w:rPr>
          <w:rFonts w:ascii="Traditional Arabic" w:eastAsia="Times New Roman" w:hAnsi="Traditional Arabic" w:cs="Traditional Arabic"/>
          <w:sz w:val="32"/>
          <w:szCs w:val="32"/>
        </w:rPr>
        <w:t>:</w:t>
      </w:r>
    </w:p>
    <w:p w14:paraId="3AE89971" w14:textId="77777777" w:rsidR="00047884" w:rsidRPr="00047884" w:rsidRDefault="00047884" w:rsidP="0099106E">
      <w:pPr>
        <w:numPr>
          <w:ilvl w:val="0"/>
          <w:numId w:val="19"/>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زيادة مستويات السيولة، </w:t>
      </w:r>
    </w:p>
    <w:p w14:paraId="0853489D" w14:textId="77777777" w:rsidR="00047884" w:rsidRPr="00047884" w:rsidRDefault="00047884" w:rsidP="0099106E">
      <w:pPr>
        <w:numPr>
          <w:ilvl w:val="0"/>
          <w:numId w:val="19"/>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توزيع المخاطر، </w:t>
      </w:r>
    </w:p>
    <w:p w14:paraId="7E156A3A" w14:textId="77777777" w:rsidR="00047884" w:rsidRPr="00047884" w:rsidRDefault="00047884" w:rsidP="0099106E">
      <w:pPr>
        <w:numPr>
          <w:ilvl w:val="0"/>
          <w:numId w:val="19"/>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رفع جودة رأس المال، </w:t>
      </w:r>
    </w:p>
    <w:p w14:paraId="16991FF2" w14:textId="77777777" w:rsidR="00047884" w:rsidRPr="00047884" w:rsidRDefault="00047884" w:rsidP="0099106E">
      <w:pPr>
        <w:numPr>
          <w:ilvl w:val="0"/>
          <w:numId w:val="19"/>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تقليل تراكم الأصول عالية المخاطر داخل الميزانية</w:t>
      </w:r>
      <w:r>
        <w:rPr>
          <w:rFonts w:ascii="Traditional Arabic" w:eastAsia="Times New Roman" w:hAnsi="Traditional Arabic" w:cs="Traditional Arabic"/>
          <w:sz w:val="32"/>
          <w:szCs w:val="32"/>
        </w:rPr>
        <w:t xml:space="preserve">. </w:t>
      </w:r>
    </w:p>
    <w:p w14:paraId="0B6B378C" w14:textId="77777777" w:rsidR="00047884" w:rsidRPr="00047884" w:rsidRDefault="00577AA5" w:rsidP="0099106E">
      <w:pPr>
        <w:bidi/>
        <w:spacing w:before="100" w:beforeAutospacing="1" w:after="100" w:afterAutospacing="1"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hint="cs"/>
          <w:b/>
          <w:bCs/>
          <w:sz w:val="32"/>
          <w:szCs w:val="32"/>
          <w:rtl/>
        </w:rPr>
        <w:t>3.</w:t>
      </w:r>
      <w:r>
        <w:rPr>
          <w:rFonts w:ascii="Traditional Arabic" w:eastAsia="Times New Roman" w:hAnsi="Traditional Arabic" w:cs="Traditional Arabic"/>
          <w:b/>
          <w:bCs/>
          <w:sz w:val="32"/>
          <w:szCs w:val="32"/>
        </w:rPr>
        <w:t xml:space="preserve"> </w:t>
      </w:r>
      <w:r>
        <w:rPr>
          <w:rFonts w:ascii="Traditional Arabic" w:eastAsia="Times New Roman" w:hAnsi="Traditional Arabic" w:cs="Traditional Arabic"/>
          <w:b/>
          <w:bCs/>
          <w:sz w:val="32"/>
          <w:szCs w:val="32"/>
          <w:rtl/>
        </w:rPr>
        <w:t>الامتثال لمتطلبات السيولة في بازل 3</w:t>
      </w:r>
    </w:p>
    <w:p w14:paraId="2B3EA4EA" w14:textId="77777777" w:rsidR="00047884" w:rsidRP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يساعد التوريق في تحقيق متطلبات السيولة التنظيمية خصوصًا</w:t>
      </w:r>
      <w:r>
        <w:rPr>
          <w:rFonts w:ascii="Traditional Arabic" w:eastAsia="Times New Roman" w:hAnsi="Traditional Arabic" w:cs="Traditional Arabic"/>
          <w:sz w:val="32"/>
          <w:szCs w:val="32"/>
        </w:rPr>
        <w:t>:</w:t>
      </w:r>
    </w:p>
    <w:p w14:paraId="1D49818C" w14:textId="77777777" w:rsidR="00047884" w:rsidRPr="00047884" w:rsidRDefault="00047884" w:rsidP="0099106E">
      <w:pPr>
        <w:numPr>
          <w:ilvl w:val="0"/>
          <w:numId w:val="20"/>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Pr>
        <w:t xml:space="preserve">LCR </w:t>
      </w:r>
    </w:p>
    <w:p w14:paraId="27FB97DA" w14:textId="77777777" w:rsidR="00047884" w:rsidRPr="00047884" w:rsidRDefault="00047884" w:rsidP="0099106E">
      <w:pPr>
        <w:numPr>
          <w:ilvl w:val="0"/>
          <w:numId w:val="20"/>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Pr>
        <w:t xml:space="preserve">NSFR </w:t>
      </w:r>
    </w:p>
    <w:p w14:paraId="79FD3E50" w14:textId="77777777" w:rsidR="00047884" w:rsidRDefault="00047884" w:rsidP="0099106E">
      <w:p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لأنه يوفّر سيولة مستقرة تسمح للبنك بتمويل التزاماته لمدة لا تقل عن 30 يومًا في حالات الضغط</w:t>
      </w:r>
      <w:r>
        <w:rPr>
          <w:rStyle w:val="Appelnotedebasdep"/>
          <w:rFonts w:ascii="Traditional Arabic" w:eastAsia="Times New Roman" w:hAnsi="Traditional Arabic" w:cs="Traditional Arabic"/>
          <w:sz w:val="32"/>
          <w:szCs w:val="32"/>
          <w:rtl/>
        </w:rPr>
        <w:footnoteReference w:id="31"/>
      </w:r>
      <w:r>
        <w:rPr>
          <w:rFonts w:ascii="Traditional Arabic" w:eastAsia="Times New Roman" w:hAnsi="Traditional Arabic" w:cs="Traditional Arabic"/>
          <w:sz w:val="32"/>
          <w:szCs w:val="32"/>
        </w:rPr>
        <w:t>.</w:t>
      </w:r>
    </w:p>
    <w:p w14:paraId="034C8524" w14:textId="77777777" w:rsidR="00934F62" w:rsidRDefault="00934F62" w:rsidP="00540437">
      <w:pPr>
        <w:bidi/>
        <w:spacing w:before="100" w:beforeAutospacing="1" w:after="100" w:afterAutospacing="1" w:line="240" w:lineRule="auto"/>
        <w:rPr>
          <w:rFonts w:ascii="Traditional Arabic" w:eastAsia="Times New Roman" w:hAnsi="Traditional Arabic" w:cs="Traditional Arabic"/>
          <w:sz w:val="32"/>
          <w:szCs w:val="32"/>
        </w:rPr>
      </w:pPr>
    </w:p>
    <w:p w14:paraId="299C7625" w14:textId="77777777" w:rsidR="00934F62" w:rsidRDefault="00934F62" w:rsidP="00540437">
      <w:pPr>
        <w:bidi/>
        <w:spacing w:before="100" w:beforeAutospacing="1" w:after="100" w:afterAutospacing="1" w:line="240" w:lineRule="auto"/>
        <w:rPr>
          <w:rFonts w:ascii="Traditional Arabic" w:eastAsia="Times New Roman" w:hAnsi="Traditional Arabic" w:cs="Traditional Arabic"/>
          <w:sz w:val="32"/>
          <w:szCs w:val="32"/>
        </w:rPr>
      </w:pPr>
    </w:p>
    <w:p w14:paraId="726D2888" w14:textId="77777777" w:rsidR="00934F62" w:rsidRDefault="00934F62"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60B8D800"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sz w:val="32"/>
          <w:szCs w:val="32"/>
        </w:rPr>
      </w:pPr>
    </w:p>
    <w:p w14:paraId="2E4355BD" w14:textId="77777777" w:rsidR="00934F62" w:rsidRDefault="00934F62" w:rsidP="00540437">
      <w:pPr>
        <w:bidi/>
        <w:spacing w:before="100" w:beforeAutospacing="1" w:after="100" w:afterAutospacing="1" w:line="240" w:lineRule="auto"/>
        <w:rPr>
          <w:rFonts w:ascii="Traditional Arabic" w:eastAsia="Times New Roman" w:hAnsi="Traditional Arabic" w:cs="Traditional Arabic"/>
          <w:sz w:val="32"/>
          <w:szCs w:val="32"/>
        </w:rPr>
      </w:pPr>
    </w:p>
    <w:p w14:paraId="683CF00D" w14:textId="77777777" w:rsidR="00934F62" w:rsidRDefault="00934F62" w:rsidP="0099106E">
      <w:pPr>
        <w:bidi/>
        <w:spacing w:after="0" w:line="240" w:lineRule="auto"/>
        <w:rPr>
          <w:rFonts w:ascii="Traditional Arabic" w:eastAsia="Times New Roman" w:hAnsi="Traditional Arabic" w:cs="Traditional Arabic"/>
          <w:b/>
          <w:bCs/>
          <w:sz w:val="36"/>
          <w:szCs w:val="36"/>
          <w:rtl/>
          <w:lang w:bidi="ar-DZ"/>
        </w:rPr>
      </w:pPr>
      <w:r>
        <w:rPr>
          <w:rFonts w:ascii="Traditional Arabic" w:eastAsia="Times New Roman" w:hAnsi="Traditional Arabic" w:cs="Traditional Arabic" w:hint="cs"/>
          <w:b/>
          <w:bCs/>
          <w:sz w:val="36"/>
          <w:szCs w:val="36"/>
          <w:rtl/>
          <w:lang w:bidi="ar-DZ"/>
        </w:rPr>
        <w:lastRenderedPageBreak/>
        <w:t xml:space="preserve">المبحث </w:t>
      </w:r>
      <w:proofErr w:type="gramStart"/>
      <w:r>
        <w:rPr>
          <w:rFonts w:ascii="Traditional Arabic" w:eastAsia="Times New Roman" w:hAnsi="Traditional Arabic" w:cs="Traditional Arabic" w:hint="cs"/>
          <w:b/>
          <w:bCs/>
          <w:sz w:val="36"/>
          <w:szCs w:val="36"/>
          <w:rtl/>
          <w:lang w:bidi="ar-DZ"/>
        </w:rPr>
        <w:t>الثاني :</w:t>
      </w:r>
      <w:proofErr w:type="gramEnd"/>
      <w:r>
        <w:rPr>
          <w:rFonts w:ascii="Traditional Arabic" w:eastAsia="Times New Roman" w:hAnsi="Traditional Arabic" w:cs="Traditional Arabic" w:hint="cs"/>
          <w:b/>
          <w:bCs/>
          <w:sz w:val="36"/>
          <w:szCs w:val="36"/>
          <w:rtl/>
          <w:lang w:bidi="ar-DZ"/>
        </w:rPr>
        <w:t xml:space="preserve"> الدراسات السابقة </w:t>
      </w:r>
    </w:p>
    <w:p w14:paraId="04D20C00" w14:textId="77777777" w:rsidR="005548A8" w:rsidRPr="005548A8" w:rsidRDefault="005548A8"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يُعدّ التوريق المصرفي من أبرز الأدوات المالية الحديثة التي أسهمت في تطوير عمل البنوك وإدارة المخاطر. فقد أصبح وسيلة فعّالة لتحويل الأصول غير السائلة إلى أدوات مالية قابلة للتداول، مما يمكّن المؤسسات المالية من تعزيز سيولتها وتنويع مصادر تمويلها. ونظرًا لأهميته المتزايدة في النظام المالي العالمي، فقد أصبح فهم الإطار المفاهيمي للتوريق ضرورة للباحثين والممارسين على حدّ سواء</w:t>
      </w:r>
      <w:r>
        <w:rPr>
          <w:rFonts w:ascii="Traditional Arabic" w:eastAsia="Times New Roman" w:hAnsi="Traditional Arabic" w:cs="Traditional Arabic"/>
          <w:sz w:val="32"/>
          <w:szCs w:val="32"/>
          <w:lang w:bidi="ar-DZ"/>
        </w:rPr>
        <w:t>.</w:t>
      </w:r>
    </w:p>
    <w:p w14:paraId="09231759" w14:textId="77777777" w:rsidR="005548A8" w:rsidRPr="005548A8" w:rsidRDefault="005548A8"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وفي هذا المبحث سيتم التطرّق إلى ماهية التوريق من خلال التعرف على تعريفه وأبرز خصائصه، إضافة إلى استعراض أنواعه والأسس التي يقوم عليها، بما يتيح فهماً شاملاً لطبيعته ودوره في العمل المصرفي</w:t>
      </w:r>
      <w:r>
        <w:rPr>
          <w:rFonts w:ascii="Traditional Arabic" w:eastAsia="Times New Roman" w:hAnsi="Traditional Arabic" w:cs="Traditional Arabic"/>
          <w:sz w:val="32"/>
          <w:szCs w:val="32"/>
          <w:lang w:bidi="ar-DZ"/>
        </w:rPr>
        <w:t>.</w:t>
      </w:r>
    </w:p>
    <w:p w14:paraId="22435F6A" w14:textId="77777777" w:rsidR="00934F62" w:rsidRPr="009044C7" w:rsidRDefault="009044C7" w:rsidP="0099106E">
      <w:pPr>
        <w:bidi/>
        <w:spacing w:after="0" w:line="240" w:lineRule="auto"/>
        <w:rPr>
          <w:rFonts w:ascii="Traditional Arabic" w:eastAsia="Times New Roman" w:hAnsi="Traditional Arabic" w:cs="Traditional Arabic"/>
          <w:b/>
          <w:bCs/>
          <w:sz w:val="36"/>
          <w:szCs w:val="36"/>
          <w:rtl/>
        </w:rPr>
      </w:pPr>
      <w:r>
        <w:rPr>
          <w:rFonts w:ascii="Traditional Arabic" w:eastAsia="Times New Roman" w:hAnsi="Traditional Arabic" w:cs="Traditional Arabic" w:hint="cs"/>
          <w:b/>
          <w:bCs/>
          <w:sz w:val="36"/>
          <w:szCs w:val="36"/>
          <w:rtl/>
        </w:rPr>
        <w:t xml:space="preserve">المطلب </w:t>
      </w:r>
      <w:proofErr w:type="gramStart"/>
      <w:r>
        <w:rPr>
          <w:rFonts w:ascii="Traditional Arabic" w:eastAsia="Times New Roman" w:hAnsi="Traditional Arabic" w:cs="Traditional Arabic" w:hint="cs"/>
          <w:b/>
          <w:bCs/>
          <w:sz w:val="36"/>
          <w:szCs w:val="36"/>
          <w:rtl/>
        </w:rPr>
        <w:t>الاول :</w:t>
      </w:r>
      <w:proofErr w:type="gramEnd"/>
      <w:r>
        <w:rPr>
          <w:rFonts w:ascii="Traditional Arabic" w:eastAsia="Times New Roman" w:hAnsi="Traditional Arabic" w:cs="Traditional Arabic" w:hint="cs"/>
          <w:b/>
          <w:bCs/>
          <w:sz w:val="36"/>
          <w:szCs w:val="36"/>
          <w:rtl/>
        </w:rPr>
        <w:t xml:space="preserve"> الدراسات العربية </w:t>
      </w:r>
    </w:p>
    <w:p w14:paraId="0DB03430" w14:textId="77777777" w:rsidR="00934F62" w:rsidRPr="009044C7" w:rsidRDefault="00934F62" w:rsidP="0099106E">
      <w:pPr>
        <w:pStyle w:val="Paragraphedeliste"/>
        <w:numPr>
          <w:ilvl w:val="0"/>
          <w:numId w:val="39"/>
        </w:numPr>
        <w:bidi/>
        <w:spacing w:after="0" w:line="240" w:lineRule="auto"/>
        <w:rPr>
          <w:rFonts w:ascii="Traditional Arabic" w:eastAsia="Times New Roman" w:hAnsi="Traditional Arabic" w:cs="Traditional Arabic"/>
          <w:b/>
          <w:bCs/>
          <w:sz w:val="32"/>
          <w:szCs w:val="32"/>
          <w:rtl/>
        </w:rPr>
      </w:pPr>
      <w:r>
        <w:rPr>
          <w:rFonts w:ascii="Traditional Arabic" w:eastAsia="Times New Roman" w:hAnsi="Traditional Arabic" w:cs="Traditional Arabic" w:hint="cs"/>
          <w:b/>
          <w:bCs/>
          <w:sz w:val="32"/>
          <w:szCs w:val="32"/>
          <w:rtl/>
        </w:rPr>
        <w:t>دراسة شعبان فرج (2013)</w:t>
      </w:r>
    </w:p>
    <w:p w14:paraId="3BCEBE46" w14:textId="77777777" w:rsidR="00934F62" w:rsidRPr="00E95BA0" w:rsidRDefault="00934F62" w:rsidP="0099106E">
      <w:pPr>
        <w:bidi/>
        <w:spacing w:after="0" w:line="240" w:lineRule="auto"/>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b/>
          <w:bCs/>
          <w:sz w:val="32"/>
          <w:szCs w:val="32"/>
          <w:rtl/>
        </w:rPr>
        <w:t xml:space="preserve">المعنونة بـ </w:t>
      </w:r>
      <w:r>
        <w:rPr>
          <w:rFonts w:ascii="Traditional Arabic" w:eastAsia="Times New Roman" w:hAnsi="Traditional Arabic" w:cs="Traditional Arabic"/>
          <w:b/>
          <w:bCs/>
          <w:sz w:val="32"/>
          <w:szCs w:val="32"/>
          <w:lang w:bidi="ar-DZ"/>
        </w:rPr>
        <w:t>"</w:t>
      </w:r>
      <w:r>
        <w:rPr>
          <w:rFonts w:ascii="Traditional Arabic" w:eastAsia="Times New Roman" w:hAnsi="Traditional Arabic" w:cs="Traditional Arabic"/>
          <w:b/>
          <w:bCs/>
          <w:sz w:val="32"/>
          <w:szCs w:val="32"/>
          <w:rtl/>
        </w:rPr>
        <w:t>التوريق وأزمة الرهن العقاري والبدائل المطروحة في ظل أساليب التمويل الإسلامي</w:t>
      </w:r>
      <w:r>
        <w:rPr>
          <w:rFonts w:ascii="Traditional Arabic" w:eastAsia="Times New Roman" w:hAnsi="Traditional Arabic" w:cs="Traditional Arabic"/>
          <w:b/>
          <w:bCs/>
          <w:sz w:val="32"/>
          <w:szCs w:val="32"/>
          <w:lang w:bidi="ar-DZ"/>
        </w:rPr>
        <w:t xml:space="preserve">" </w:t>
      </w:r>
    </w:p>
    <w:p w14:paraId="05665D0C"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lang w:bidi="ar-DZ"/>
        </w:rPr>
        <w:t xml:space="preserve">  </w:t>
      </w: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sz w:val="32"/>
          <w:szCs w:val="32"/>
          <w:lang w:bidi="ar-DZ"/>
        </w:rPr>
        <w:t>:</w:t>
      </w:r>
    </w:p>
    <w:p w14:paraId="430C5220" w14:textId="77777777" w:rsidR="00E95BA0" w:rsidRPr="00E95BA0" w:rsidRDefault="00E95BA0" w:rsidP="0099106E">
      <w:pPr>
        <w:numPr>
          <w:ilvl w:val="0"/>
          <w:numId w:val="21"/>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توضيح مفهوم التوريق المصرفي ونشأته</w:t>
      </w:r>
      <w:r>
        <w:rPr>
          <w:rFonts w:ascii="Traditional Arabic" w:eastAsia="Times New Roman" w:hAnsi="Traditional Arabic" w:cs="Traditional Arabic"/>
          <w:sz w:val="32"/>
          <w:szCs w:val="32"/>
          <w:lang w:bidi="ar-DZ"/>
        </w:rPr>
        <w:t xml:space="preserve">. </w:t>
      </w:r>
    </w:p>
    <w:p w14:paraId="4AB77B61" w14:textId="77777777" w:rsidR="00E95BA0" w:rsidRPr="00E95BA0" w:rsidRDefault="00E95BA0" w:rsidP="0099106E">
      <w:pPr>
        <w:numPr>
          <w:ilvl w:val="0"/>
          <w:numId w:val="21"/>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تحديد أسباب ومظاهر أزمة الرهن العقاري</w:t>
      </w:r>
      <w:r>
        <w:rPr>
          <w:rFonts w:ascii="Traditional Arabic" w:eastAsia="Times New Roman" w:hAnsi="Traditional Arabic" w:cs="Traditional Arabic"/>
          <w:sz w:val="32"/>
          <w:szCs w:val="32"/>
          <w:lang w:bidi="ar-DZ"/>
        </w:rPr>
        <w:t xml:space="preserve">. </w:t>
      </w:r>
    </w:p>
    <w:p w14:paraId="7C050556" w14:textId="77777777" w:rsidR="00E95BA0" w:rsidRPr="00E95BA0" w:rsidRDefault="00E95BA0" w:rsidP="0099106E">
      <w:pPr>
        <w:numPr>
          <w:ilvl w:val="0"/>
          <w:numId w:val="21"/>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مدى إسهام التوريق المصرفي في إحداث أزمة الرهن العقاري</w:t>
      </w:r>
      <w:r>
        <w:rPr>
          <w:rFonts w:ascii="Traditional Arabic" w:eastAsia="Times New Roman" w:hAnsi="Traditional Arabic" w:cs="Traditional Arabic"/>
          <w:sz w:val="32"/>
          <w:szCs w:val="32"/>
          <w:lang w:bidi="ar-DZ"/>
        </w:rPr>
        <w:t xml:space="preserve">. </w:t>
      </w:r>
    </w:p>
    <w:p w14:paraId="67AAB0EC" w14:textId="77777777" w:rsidR="00E95BA0" w:rsidRPr="00E95BA0" w:rsidRDefault="00E95BA0" w:rsidP="0099106E">
      <w:pPr>
        <w:numPr>
          <w:ilvl w:val="0"/>
          <w:numId w:val="21"/>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تقديم البدائل التمويلية الإسلامية كأدوات لتفادي مثل هذه الأزمات المالية</w:t>
      </w:r>
      <w:r>
        <w:rPr>
          <w:rFonts w:ascii="Traditional Arabic" w:eastAsia="Times New Roman" w:hAnsi="Traditional Arabic" w:cs="Traditional Arabic"/>
          <w:sz w:val="32"/>
          <w:szCs w:val="32"/>
          <w:lang w:bidi="ar-DZ"/>
        </w:rPr>
        <w:t xml:space="preserve">. </w:t>
      </w:r>
    </w:p>
    <w:p w14:paraId="1A52312B"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منهج الدراسة</w:t>
      </w:r>
      <w:r>
        <w:rPr>
          <w:rFonts w:ascii="Traditional Arabic" w:eastAsia="Times New Roman" w:hAnsi="Traditional Arabic" w:cs="Traditional Arabic"/>
          <w:sz w:val="32"/>
          <w:szCs w:val="32"/>
          <w:lang w:bidi="ar-DZ"/>
        </w:rPr>
        <w:t xml:space="preserve">: </w:t>
      </w:r>
      <w:r>
        <w:rPr>
          <w:rFonts w:ascii="Traditional Arabic" w:eastAsia="Times New Roman" w:hAnsi="Traditional Arabic" w:cs="Traditional Arabic"/>
          <w:sz w:val="32"/>
          <w:szCs w:val="32"/>
          <w:rtl/>
        </w:rPr>
        <w:t>اعتمدت الدراسة على المنهج الوصفي التحليلي من خلال استعراض المفاهيم المالية (التوريق، الأزمة) وتحليل أسبابها وتداعياتها، وصولاً إلى اقتراح البدائل الإسلامية</w:t>
      </w:r>
      <w:r>
        <w:rPr>
          <w:rFonts w:ascii="Traditional Arabic" w:eastAsia="Times New Roman" w:hAnsi="Traditional Arabic" w:cs="Traditional Arabic"/>
          <w:sz w:val="32"/>
          <w:szCs w:val="32"/>
          <w:lang w:bidi="ar-DZ"/>
        </w:rPr>
        <w:t xml:space="preserve">. </w:t>
      </w:r>
    </w:p>
    <w:p w14:paraId="5E34F385"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lang w:bidi="ar-DZ"/>
        </w:rPr>
        <w:t xml:space="preserve">   </w:t>
      </w: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sz w:val="32"/>
          <w:szCs w:val="32"/>
          <w:lang w:bidi="ar-DZ"/>
        </w:rPr>
        <w:t>:</w:t>
      </w:r>
    </w:p>
    <w:p w14:paraId="306F184C" w14:textId="77777777" w:rsidR="00E95BA0" w:rsidRPr="00E95BA0" w:rsidRDefault="00E95BA0" w:rsidP="0099106E">
      <w:pPr>
        <w:numPr>
          <w:ilvl w:val="0"/>
          <w:numId w:val="23"/>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تكمن أهميتها في معالجة قضية معاصرة وحساسة (أزمة الرهن العقاري) وربطها بأداة مالية مبتكرة كالتوريق</w:t>
      </w:r>
      <w:r>
        <w:rPr>
          <w:rFonts w:ascii="Traditional Arabic" w:eastAsia="Times New Roman" w:hAnsi="Traditional Arabic" w:cs="Traditional Arabic"/>
          <w:sz w:val="32"/>
          <w:szCs w:val="32"/>
          <w:lang w:bidi="ar-DZ"/>
        </w:rPr>
        <w:t xml:space="preserve">. </w:t>
      </w:r>
    </w:p>
    <w:p w14:paraId="3103F36D" w14:textId="77777777" w:rsidR="00E95BA0" w:rsidRPr="00E95BA0" w:rsidRDefault="00E95BA0" w:rsidP="0099106E">
      <w:pPr>
        <w:numPr>
          <w:ilvl w:val="0"/>
          <w:numId w:val="23"/>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إبراز دور التمويل الإسلامي كبديل آمن وفعال يمكنه تجنيب النظام المالي العالمي مخاطر الأزمات الناتجة عن التوريق التقليدي</w:t>
      </w:r>
      <w:r>
        <w:rPr>
          <w:rFonts w:ascii="Traditional Arabic" w:eastAsia="Times New Roman" w:hAnsi="Traditional Arabic" w:cs="Traditional Arabic"/>
          <w:sz w:val="32"/>
          <w:szCs w:val="32"/>
          <w:lang w:bidi="ar-DZ"/>
        </w:rPr>
        <w:t xml:space="preserve">. </w:t>
      </w:r>
    </w:p>
    <w:p w14:paraId="7F9E71F0" w14:textId="77777777" w:rsidR="00E95BA0" w:rsidRPr="00E95BA0" w:rsidRDefault="00E95BA0" w:rsidP="0099106E">
      <w:pPr>
        <w:numPr>
          <w:ilvl w:val="0"/>
          <w:numId w:val="23"/>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توفير فهم أعمق للآليات التي أدت إلى انهيار الأسواق المالية والمصارف العالمية</w:t>
      </w:r>
      <w:r>
        <w:rPr>
          <w:rFonts w:ascii="Traditional Arabic" w:eastAsia="Times New Roman" w:hAnsi="Traditional Arabic" w:cs="Traditional Arabic"/>
          <w:sz w:val="32"/>
          <w:szCs w:val="32"/>
          <w:lang w:bidi="ar-DZ"/>
        </w:rPr>
        <w:t xml:space="preserve">. </w:t>
      </w:r>
    </w:p>
    <w:p w14:paraId="7C86001E"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sz w:val="32"/>
          <w:szCs w:val="32"/>
          <w:lang w:bidi="ar-DZ"/>
        </w:rPr>
        <w:t>:</w:t>
      </w:r>
    </w:p>
    <w:p w14:paraId="3BBF6986" w14:textId="77777777" w:rsidR="00E95BA0" w:rsidRPr="00E95BA0" w:rsidRDefault="00E95BA0" w:rsidP="0099106E">
      <w:pPr>
        <w:numPr>
          <w:ilvl w:val="0"/>
          <w:numId w:val="22"/>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المصرفي كان سبباً رئيساً في الأزمة المالية بسبب التمادي في استخدامه دون قيود وعدم التحقق من الجدارة الائتمانية للمقترضين</w:t>
      </w:r>
      <w:r>
        <w:rPr>
          <w:rFonts w:ascii="Traditional Arabic" w:eastAsia="Times New Roman" w:hAnsi="Traditional Arabic" w:cs="Traditional Arabic"/>
          <w:sz w:val="32"/>
          <w:szCs w:val="32"/>
          <w:lang w:bidi="ar-DZ"/>
        </w:rPr>
        <w:t xml:space="preserve">. </w:t>
      </w:r>
    </w:p>
    <w:p w14:paraId="393FFF70" w14:textId="77777777" w:rsidR="00E95BA0" w:rsidRPr="00E95BA0" w:rsidRDefault="00E95BA0" w:rsidP="0099106E">
      <w:pPr>
        <w:numPr>
          <w:ilvl w:val="0"/>
          <w:numId w:val="22"/>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تحول التوريق من أداة لتوفير السيولة وتوزيع المخاطر إلى سبب لوقوع الأزمات المالية نتيجة الاستعمال المفرط وسوء تقييم المخاطر</w:t>
      </w:r>
      <w:r>
        <w:rPr>
          <w:rFonts w:ascii="Traditional Arabic" w:eastAsia="Times New Roman" w:hAnsi="Traditional Arabic" w:cs="Traditional Arabic"/>
          <w:sz w:val="32"/>
          <w:szCs w:val="32"/>
          <w:lang w:bidi="ar-DZ"/>
        </w:rPr>
        <w:t xml:space="preserve">. </w:t>
      </w:r>
    </w:p>
    <w:p w14:paraId="673749A5" w14:textId="77777777" w:rsidR="00E95BA0" w:rsidRPr="00E95BA0" w:rsidRDefault="00E95BA0" w:rsidP="0099106E">
      <w:pPr>
        <w:numPr>
          <w:ilvl w:val="0"/>
          <w:numId w:val="22"/>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lastRenderedPageBreak/>
        <w:t>انفجار الفقاعة العقارية أدى إلى انهيار مؤسسات التوريق وانتقال العدوى المالية للبنوك والصناديق الاستثمارية العالمية</w:t>
      </w:r>
      <w:r>
        <w:rPr>
          <w:rFonts w:ascii="Traditional Arabic" w:eastAsia="Times New Roman" w:hAnsi="Traditional Arabic" w:cs="Traditional Arabic"/>
          <w:sz w:val="32"/>
          <w:szCs w:val="32"/>
          <w:lang w:bidi="ar-DZ"/>
        </w:rPr>
        <w:t xml:space="preserve">. </w:t>
      </w:r>
    </w:p>
    <w:p w14:paraId="4F11369A" w14:textId="77777777" w:rsidR="00E95BA0" w:rsidRPr="00E95BA0" w:rsidRDefault="00E95BA0" w:rsidP="0099106E">
      <w:pPr>
        <w:numPr>
          <w:ilvl w:val="0"/>
          <w:numId w:val="22"/>
        </w:numPr>
        <w:tabs>
          <w:tab w:val="clear" w:pos="360"/>
          <w:tab w:val="num" w:pos="720"/>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البنوك الإسلامية استطاعت تجاوز التأثيرات السلبية للأزمة بفضل طبيعة أدواتها التمويلية</w:t>
      </w:r>
      <w:r>
        <w:rPr>
          <w:rFonts w:ascii="Traditional Arabic" w:eastAsia="Times New Roman" w:hAnsi="Traditional Arabic" w:cs="Traditional Arabic"/>
          <w:sz w:val="32"/>
          <w:szCs w:val="32"/>
          <w:lang w:bidi="ar-DZ"/>
        </w:rPr>
        <w:t xml:space="preserve">. </w:t>
      </w:r>
    </w:p>
    <w:p w14:paraId="62688EDB" w14:textId="77777777" w:rsidR="00E95BA0" w:rsidRPr="009044C7" w:rsidRDefault="00E95BA0" w:rsidP="0099106E">
      <w:pPr>
        <w:pStyle w:val="Paragraphedeliste"/>
        <w:numPr>
          <w:ilvl w:val="0"/>
          <w:numId w:val="39"/>
        </w:numPr>
        <w:bidi/>
        <w:spacing w:after="0" w:line="240" w:lineRule="auto"/>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 xml:space="preserve">دراسة </w:t>
      </w:r>
      <w:r>
        <w:rPr>
          <w:rFonts w:ascii="Traditional Arabic" w:eastAsia="Times New Roman" w:hAnsi="Traditional Arabic" w:cs="Traditional Arabic"/>
          <w:b/>
          <w:bCs/>
          <w:sz w:val="32"/>
          <w:szCs w:val="32"/>
          <w:rtl/>
        </w:rPr>
        <w:t>د</w:t>
      </w:r>
      <w:r>
        <w:rPr>
          <w:rFonts w:ascii="Traditional Arabic" w:eastAsia="Times New Roman" w:hAnsi="Traditional Arabic" w:cs="Traditional Arabic"/>
          <w:b/>
          <w:bCs/>
          <w:sz w:val="32"/>
          <w:szCs w:val="32"/>
          <w:lang w:bidi="ar-DZ"/>
        </w:rPr>
        <w:t xml:space="preserve">. </w:t>
      </w:r>
      <w:r>
        <w:rPr>
          <w:rFonts w:ascii="Traditional Arabic" w:eastAsia="Times New Roman" w:hAnsi="Traditional Arabic" w:cs="Traditional Arabic"/>
          <w:b/>
          <w:bCs/>
          <w:sz w:val="32"/>
          <w:szCs w:val="32"/>
          <w:rtl/>
        </w:rPr>
        <w:t xml:space="preserve">سعيد سيف </w:t>
      </w:r>
      <w:proofErr w:type="spellStart"/>
      <w:r>
        <w:rPr>
          <w:rFonts w:ascii="Traditional Arabic" w:eastAsia="Times New Roman" w:hAnsi="Traditional Arabic" w:cs="Traditional Arabic"/>
          <w:b/>
          <w:bCs/>
          <w:sz w:val="32"/>
          <w:szCs w:val="32"/>
          <w:rtl/>
        </w:rPr>
        <w:t>السبوسي</w:t>
      </w:r>
      <w:proofErr w:type="spellEnd"/>
      <w:r>
        <w:rPr>
          <w:rFonts w:ascii="Traditional Arabic" w:eastAsia="Times New Roman" w:hAnsi="Traditional Arabic" w:cs="Traditional Arabic"/>
          <w:b/>
          <w:bCs/>
          <w:sz w:val="32"/>
          <w:szCs w:val="32"/>
          <w:lang w:bidi="ar-DZ"/>
        </w:rPr>
        <w:t xml:space="preserve">. </w:t>
      </w:r>
      <w:r>
        <w:rPr>
          <w:rFonts w:ascii="Traditional Arabic" w:eastAsia="Times New Roman" w:hAnsi="Traditional Arabic" w:cs="Traditional Arabic" w:hint="cs"/>
          <w:b/>
          <w:bCs/>
          <w:sz w:val="32"/>
          <w:szCs w:val="32"/>
          <w:rtl/>
          <w:lang w:bidi="ar-DZ"/>
        </w:rPr>
        <w:t xml:space="preserve"> (2019) </w:t>
      </w:r>
    </w:p>
    <w:p w14:paraId="603D4A63" w14:textId="77777777" w:rsidR="00E95BA0" w:rsidRPr="00E95BA0" w:rsidRDefault="00E95BA0"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المعنونة </w:t>
      </w:r>
      <w:proofErr w:type="gramStart"/>
      <w:r>
        <w:rPr>
          <w:rFonts w:ascii="Traditional Arabic" w:eastAsia="Times New Roman" w:hAnsi="Traditional Arabic" w:cs="Traditional Arabic" w:hint="cs"/>
          <w:b/>
          <w:bCs/>
          <w:sz w:val="32"/>
          <w:szCs w:val="32"/>
          <w:rtl/>
          <w:lang w:bidi="ar-DZ"/>
        </w:rPr>
        <w:t>بــ  "</w:t>
      </w:r>
      <w:proofErr w:type="gramEnd"/>
      <w:r>
        <w:rPr>
          <w:rFonts w:ascii="Traditional Arabic" w:eastAsia="Times New Roman" w:hAnsi="Traditional Arabic" w:cs="Traditional Arabic" w:hint="cs"/>
          <w:b/>
          <w:bCs/>
          <w:sz w:val="32"/>
          <w:szCs w:val="32"/>
          <w:rtl/>
          <w:lang w:bidi="ar-DZ"/>
        </w:rPr>
        <w:t xml:space="preserve"> </w:t>
      </w:r>
      <w:r>
        <w:rPr>
          <w:rFonts w:ascii="Traditional Arabic" w:eastAsia="Times New Roman" w:hAnsi="Traditional Arabic" w:cs="Traditional Arabic"/>
          <w:b/>
          <w:bCs/>
          <w:sz w:val="32"/>
          <w:szCs w:val="32"/>
          <w:rtl/>
        </w:rPr>
        <w:t>نظام التوريق كمصدر من مصادر التمويل في الاقتصاد الحديث (دراسة وصفية تحليلية</w:t>
      </w:r>
      <w:r>
        <w:rPr>
          <w:rFonts w:ascii="Traditional Arabic" w:eastAsia="Times New Roman" w:hAnsi="Traditional Arabic" w:cs="Traditional Arabic" w:hint="cs"/>
          <w:b/>
          <w:bCs/>
          <w:sz w:val="32"/>
          <w:szCs w:val="32"/>
          <w:rtl/>
          <w:lang w:bidi="ar-DZ"/>
        </w:rPr>
        <w:t>)</w:t>
      </w:r>
      <w:r>
        <w:rPr>
          <w:rFonts w:ascii="Traditional Arabic" w:eastAsia="Times New Roman" w:hAnsi="Traditional Arabic" w:cs="Traditional Arabic"/>
          <w:b/>
          <w:bCs/>
          <w:sz w:val="32"/>
          <w:szCs w:val="32"/>
          <w:lang w:bidi="ar-DZ"/>
        </w:rPr>
        <w:t>.</w:t>
      </w:r>
      <w:r>
        <w:rPr>
          <w:rFonts w:ascii="Traditional Arabic" w:eastAsia="Times New Roman" w:hAnsi="Traditional Arabic" w:cs="Traditional Arabic" w:hint="cs"/>
          <w:b/>
          <w:bCs/>
          <w:sz w:val="32"/>
          <w:szCs w:val="32"/>
          <w:rtl/>
          <w:lang w:bidi="ar-DZ"/>
        </w:rPr>
        <w:t>"</w:t>
      </w:r>
    </w:p>
    <w:p w14:paraId="2A5BA836"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sz w:val="32"/>
          <w:szCs w:val="32"/>
          <w:lang w:bidi="ar-DZ"/>
        </w:rPr>
        <w:t>:</w:t>
      </w:r>
    </w:p>
    <w:p w14:paraId="1950D6D8" w14:textId="77777777" w:rsidR="00E95BA0" w:rsidRPr="00E95BA0" w:rsidRDefault="00E95BA0" w:rsidP="0099106E">
      <w:pPr>
        <w:numPr>
          <w:ilvl w:val="0"/>
          <w:numId w:val="2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إطلاع القارئ على كافة الجوانب والتفصيلات المرتبطة بموضوع التوريق وبيان قيمته كأحد مصادر التمويل الحديثة</w:t>
      </w:r>
      <w:r>
        <w:rPr>
          <w:rFonts w:ascii="Traditional Arabic" w:eastAsia="Times New Roman" w:hAnsi="Traditional Arabic" w:cs="Traditional Arabic"/>
          <w:sz w:val="32"/>
          <w:szCs w:val="32"/>
          <w:lang w:bidi="ar-DZ"/>
        </w:rPr>
        <w:t xml:space="preserve">. </w:t>
      </w:r>
    </w:p>
    <w:p w14:paraId="4D4ECAEC" w14:textId="77777777" w:rsidR="00E95BA0" w:rsidRPr="00E95BA0" w:rsidRDefault="00E95BA0" w:rsidP="0099106E">
      <w:pPr>
        <w:numPr>
          <w:ilvl w:val="0"/>
          <w:numId w:val="2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إجراء مقاربة للنظر في إمكانية تطبيق نظام التوريق داخل دولة الإمارات كبديل إضافي لخيارات التمويل التقليدية</w:t>
      </w:r>
      <w:r>
        <w:rPr>
          <w:rFonts w:ascii="Traditional Arabic" w:eastAsia="Times New Roman" w:hAnsi="Traditional Arabic" w:cs="Traditional Arabic"/>
          <w:sz w:val="32"/>
          <w:szCs w:val="32"/>
          <w:lang w:bidi="ar-DZ"/>
        </w:rPr>
        <w:t xml:space="preserve">. </w:t>
      </w:r>
    </w:p>
    <w:p w14:paraId="62CBB140" w14:textId="77777777" w:rsidR="00E95BA0" w:rsidRPr="00E95BA0" w:rsidRDefault="00E95BA0" w:rsidP="0099106E">
      <w:pPr>
        <w:numPr>
          <w:ilvl w:val="0"/>
          <w:numId w:val="2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إطلاع جهات التشريع في دولة الإمارات على قيمة هذا البديل التمويلي للنظر في إمكانية شموله بتنظيم قانوني</w:t>
      </w:r>
      <w:r>
        <w:rPr>
          <w:rFonts w:ascii="Traditional Arabic" w:eastAsia="Times New Roman" w:hAnsi="Traditional Arabic" w:cs="Traditional Arabic"/>
          <w:sz w:val="32"/>
          <w:szCs w:val="32"/>
          <w:lang w:bidi="ar-DZ"/>
        </w:rPr>
        <w:t xml:space="preserve">. </w:t>
      </w:r>
    </w:p>
    <w:p w14:paraId="3B5BC535" w14:textId="77777777" w:rsidR="00E95BA0" w:rsidRPr="00282CEF"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منهج الدراسة</w:t>
      </w:r>
      <w:r>
        <w:rPr>
          <w:rFonts w:ascii="Traditional Arabic" w:eastAsia="Times New Roman" w:hAnsi="Traditional Arabic" w:cs="Traditional Arabic"/>
          <w:sz w:val="32"/>
          <w:szCs w:val="32"/>
          <w:lang w:bidi="ar-DZ"/>
        </w:rPr>
        <w:t xml:space="preserve">: </w:t>
      </w:r>
      <w:r>
        <w:rPr>
          <w:rFonts w:ascii="Traditional Arabic" w:eastAsia="Times New Roman" w:hAnsi="Traditional Arabic" w:cs="Traditional Arabic"/>
          <w:sz w:val="32"/>
          <w:szCs w:val="32"/>
          <w:rtl/>
        </w:rPr>
        <w:t>اعتمدت الدراسة على المنهج الوصفي التحليلي، الذي يهتم بتجميع البيانات والمعلومات عن نظام التوريق وتنظيمها بشكل تسلسلي، والتعريف بالمفاهيم والمزايا وتلخيص دوره في معالجة مشاكل السيولة ومخاطر القروض</w:t>
      </w:r>
      <w:r>
        <w:rPr>
          <w:rFonts w:ascii="Traditional Arabic" w:eastAsia="Times New Roman" w:hAnsi="Traditional Arabic" w:cs="Traditional Arabic"/>
          <w:sz w:val="32"/>
          <w:szCs w:val="32"/>
          <w:lang w:bidi="ar-DZ"/>
        </w:rPr>
        <w:t xml:space="preserve">. </w:t>
      </w:r>
    </w:p>
    <w:p w14:paraId="4AA95DBE"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sz w:val="32"/>
          <w:szCs w:val="32"/>
          <w:lang w:bidi="ar-DZ"/>
        </w:rPr>
        <w:t>:</w:t>
      </w:r>
    </w:p>
    <w:p w14:paraId="5E7E138B" w14:textId="77777777" w:rsidR="00E95BA0" w:rsidRPr="00E95BA0" w:rsidRDefault="00E95BA0" w:rsidP="0099106E">
      <w:pPr>
        <w:numPr>
          <w:ilvl w:val="0"/>
          <w:numId w:val="2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نظام التوريق يؤدي إلى خلق قيمة مضافة من خلال تشجيع المشروعات المرتبطة به على التخصص، مما يوسع دائرة النشاط الاقتصادي</w:t>
      </w:r>
      <w:r>
        <w:rPr>
          <w:rFonts w:ascii="Traditional Arabic" w:eastAsia="Times New Roman" w:hAnsi="Traditional Arabic" w:cs="Traditional Arabic"/>
          <w:sz w:val="32"/>
          <w:szCs w:val="32"/>
          <w:lang w:bidi="ar-DZ"/>
        </w:rPr>
        <w:t xml:space="preserve">. </w:t>
      </w:r>
    </w:p>
    <w:p w14:paraId="25C0AD50" w14:textId="77777777" w:rsidR="00E95BA0" w:rsidRPr="00E95BA0" w:rsidRDefault="00E95BA0" w:rsidP="0099106E">
      <w:pPr>
        <w:numPr>
          <w:ilvl w:val="0"/>
          <w:numId w:val="2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يساهم التوريق في تحويل الأصول غير السائلة إلى أصول سائلة، مما يقلل من تكلفة الدين والمخاطر المرتبطة به</w:t>
      </w:r>
      <w:r>
        <w:rPr>
          <w:rFonts w:ascii="Traditional Arabic" w:eastAsia="Times New Roman" w:hAnsi="Traditional Arabic" w:cs="Traditional Arabic"/>
          <w:sz w:val="32"/>
          <w:szCs w:val="32"/>
          <w:lang w:bidi="ar-DZ"/>
        </w:rPr>
        <w:t xml:space="preserve">. </w:t>
      </w:r>
    </w:p>
    <w:p w14:paraId="6BC5AC87" w14:textId="77777777" w:rsidR="00E95BA0" w:rsidRPr="00E95BA0" w:rsidRDefault="00E95BA0" w:rsidP="0099106E">
      <w:pPr>
        <w:numPr>
          <w:ilvl w:val="0"/>
          <w:numId w:val="2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يوفر التوريق مصدراً تمويلياً منخفض التكلفة للأفراد والشركات والحكومات من خلال الارتباط المباشر بأسواق رأس المال وتخطي الوساطة المالية التقليدية</w:t>
      </w:r>
      <w:r>
        <w:rPr>
          <w:rFonts w:ascii="Traditional Arabic" w:eastAsia="Times New Roman" w:hAnsi="Traditional Arabic" w:cs="Traditional Arabic"/>
          <w:sz w:val="32"/>
          <w:szCs w:val="32"/>
          <w:lang w:bidi="ar-DZ"/>
        </w:rPr>
        <w:t xml:space="preserve">. </w:t>
      </w:r>
    </w:p>
    <w:p w14:paraId="1978A86A" w14:textId="77777777" w:rsidR="00E95BA0" w:rsidRPr="00E95BA0" w:rsidRDefault="00E95BA0" w:rsidP="0099106E">
      <w:pPr>
        <w:numPr>
          <w:ilvl w:val="0"/>
          <w:numId w:val="2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أثبتت الدراسة أن التوريق أداة فعالة لمواجهة الركود في قطاعات معينة (مثل العقارات) وزيادة سيولة القطاع المالي</w:t>
      </w:r>
      <w:r>
        <w:rPr>
          <w:rFonts w:ascii="Traditional Arabic" w:eastAsia="Times New Roman" w:hAnsi="Traditional Arabic" w:cs="Traditional Arabic"/>
          <w:sz w:val="32"/>
          <w:szCs w:val="32"/>
          <w:lang w:bidi="ar-DZ"/>
        </w:rPr>
        <w:t xml:space="preserve">. </w:t>
      </w:r>
    </w:p>
    <w:p w14:paraId="44E1973D"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lang w:bidi="ar-DZ"/>
        </w:rPr>
        <w:t xml:space="preserve">  </w:t>
      </w: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sz w:val="32"/>
          <w:szCs w:val="32"/>
          <w:lang w:bidi="ar-DZ"/>
        </w:rPr>
        <w:t>:</w:t>
      </w:r>
    </w:p>
    <w:p w14:paraId="1D73E9DC" w14:textId="77777777" w:rsidR="00E95BA0" w:rsidRPr="00E95BA0" w:rsidRDefault="00E95BA0" w:rsidP="0099106E">
      <w:pPr>
        <w:numPr>
          <w:ilvl w:val="0"/>
          <w:numId w:val="26"/>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تكمن الأهمية في تناول موضوع متميز ذي قيمة عالية في عالم الاقتصاد (الهندسة المالية)، حيث يعتبر التوريق ثورة في تلبية الاحتياجات التمويلية بتكلفة منخفضة</w:t>
      </w:r>
      <w:r>
        <w:rPr>
          <w:rFonts w:ascii="Traditional Arabic" w:eastAsia="Times New Roman" w:hAnsi="Traditional Arabic" w:cs="Traditional Arabic"/>
          <w:sz w:val="32"/>
          <w:szCs w:val="32"/>
          <w:lang w:bidi="ar-DZ"/>
        </w:rPr>
        <w:t xml:space="preserve">. </w:t>
      </w:r>
    </w:p>
    <w:p w14:paraId="02DF6994" w14:textId="77777777" w:rsidR="00E95BA0" w:rsidRPr="00E95BA0" w:rsidRDefault="00E95BA0" w:rsidP="0099106E">
      <w:pPr>
        <w:numPr>
          <w:ilvl w:val="0"/>
          <w:numId w:val="26"/>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تساعد الدراسة في توضيح كيفية توفير السيولة للمؤسسات المالية مع تخفيف المخاطر التي تثقل كاهلها</w:t>
      </w:r>
      <w:r>
        <w:rPr>
          <w:rFonts w:ascii="Traditional Arabic" w:eastAsia="Times New Roman" w:hAnsi="Traditional Arabic" w:cs="Traditional Arabic"/>
          <w:sz w:val="32"/>
          <w:szCs w:val="32"/>
          <w:lang w:bidi="ar-DZ"/>
        </w:rPr>
        <w:t xml:space="preserve">. </w:t>
      </w:r>
    </w:p>
    <w:p w14:paraId="4FE1FF46" w14:textId="77777777" w:rsidR="00E95BA0" w:rsidRPr="00E95BA0" w:rsidRDefault="00E95BA0" w:rsidP="0099106E">
      <w:pPr>
        <w:numPr>
          <w:ilvl w:val="0"/>
          <w:numId w:val="26"/>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lastRenderedPageBreak/>
        <w:t>تتجلى أهميتها أيضاً في محاولة سد الثغرة التشريعية، خاصة في البيئة الإماراتية، من خلال لفت نظر المشرعين لتبني ضوابط قانونية لهذا النظام</w:t>
      </w:r>
      <w:r>
        <w:rPr>
          <w:rFonts w:ascii="Traditional Arabic" w:eastAsia="Times New Roman" w:hAnsi="Traditional Arabic" w:cs="Traditional Arabic"/>
          <w:sz w:val="32"/>
          <w:szCs w:val="32"/>
          <w:lang w:bidi="ar-DZ"/>
        </w:rPr>
        <w:t xml:space="preserve">. </w:t>
      </w:r>
    </w:p>
    <w:p w14:paraId="2C0AF63A" w14:textId="77777777" w:rsidR="00E95BA0" w:rsidRPr="009044C7" w:rsidRDefault="00E95BA0" w:rsidP="0099106E">
      <w:pPr>
        <w:pStyle w:val="Paragraphedeliste"/>
        <w:numPr>
          <w:ilvl w:val="0"/>
          <w:numId w:val="39"/>
        </w:numPr>
        <w:bidi/>
        <w:spacing w:after="0" w:line="240" w:lineRule="auto"/>
        <w:rPr>
          <w:rFonts w:ascii="Traditional Arabic" w:eastAsia="Times New Roman" w:hAnsi="Traditional Arabic" w:cs="Traditional Arabic"/>
          <w:b/>
          <w:bCs/>
          <w:sz w:val="32"/>
          <w:szCs w:val="32"/>
          <w:rtl/>
          <w:lang w:bidi="ar-DZ"/>
        </w:rPr>
      </w:pPr>
      <w:proofErr w:type="gramStart"/>
      <w:r>
        <w:rPr>
          <w:rFonts w:ascii="Traditional Arabic" w:eastAsia="Times New Roman" w:hAnsi="Traditional Arabic" w:cs="Traditional Arabic" w:hint="cs"/>
          <w:b/>
          <w:bCs/>
          <w:sz w:val="32"/>
          <w:szCs w:val="32"/>
          <w:rtl/>
        </w:rPr>
        <w:t xml:space="preserve">دراسة </w:t>
      </w:r>
      <w:r>
        <w:rPr>
          <w:rFonts w:ascii="Traditional Arabic" w:eastAsia="Times New Roman" w:hAnsi="Traditional Arabic" w:cs="Traditional Arabic"/>
          <w:b/>
          <w:bCs/>
          <w:sz w:val="32"/>
          <w:szCs w:val="32"/>
          <w:lang w:bidi="ar-DZ"/>
        </w:rPr>
        <w:t xml:space="preserve"> </w:t>
      </w:r>
      <w:r>
        <w:rPr>
          <w:rFonts w:ascii="Traditional Arabic" w:eastAsia="Times New Roman" w:hAnsi="Traditional Arabic" w:cs="Traditional Arabic"/>
          <w:b/>
          <w:bCs/>
          <w:sz w:val="32"/>
          <w:szCs w:val="32"/>
          <w:rtl/>
        </w:rPr>
        <w:t>منال</w:t>
      </w:r>
      <w:proofErr w:type="gramEnd"/>
      <w:r>
        <w:rPr>
          <w:rFonts w:ascii="Traditional Arabic" w:eastAsia="Times New Roman" w:hAnsi="Traditional Arabic" w:cs="Traditional Arabic"/>
          <w:b/>
          <w:bCs/>
          <w:sz w:val="32"/>
          <w:szCs w:val="32"/>
          <w:rtl/>
        </w:rPr>
        <w:t xml:space="preserve"> بن شيخ</w:t>
      </w:r>
      <w:r>
        <w:rPr>
          <w:rFonts w:ascii="Traditional Arabic" w:eastAsia="Times New Roman" w:hAnsi="Traditional Arabic" w:cs="Traditional Arabic"/>
          <w:b/>
          <w:bCs/>
          <w:sz w:val="32"/>
          <w:szCs w:val="32"/>
          <w:lang w:bidi="ar-DZ"/>
        </w:rPr>
        <w:t>.</w:t>
      </w:r>
      <w:r>
        <w:rPr>
          <w:rFonts w:ascii="Traditional Arabic" w:eastAsia="Times New Roman" w:hAnsi="Traditional Arabic" w:cs="Traditional Arabic" w:hint="cs"/>
          <w:b/>
          <w:bCs/>
          <w:sz w:val="32"/>
          <w:szCs w:val="32"/>
          <w:rtl/>
          <w:lang w:bidi="ar-DZ"/>
        </w:rPr>
        <w:t xml:space="preserve"> (2019)</w:t>
      </w:r>
    </w:p>
    <w:p w14:paraId="3B94D8BA" w14:textId="77777777" w:rsidR="00E95BA0" w:rsidRPr="00E95BA0" w:rsidRDefault="00E95BA0"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المعنونة بـــ " </w:t>
      </w:r>
      <w:r>
        <w:rPr>
          <w:rFonts w:ascii="Traditional Arabic" w:eastAsia="Times New Roman" w:hAnsi="Traditional Arabic" w:cs="Traditional Arabic"/>
          <w:b/>
          <w:bCs/>
          <w:sz w:val="32"/>
          <w:szCs w:val="32"/>
          <w:rtl/>
        </w:rPr>
        <w:t>دراسة وتحليل نماذج التوريق في شركات التأمين على الأشخاص</w:t>
      </w:r>
      <w:r>
        <w:rPr>
          <w:rFonts w:ascii="Traditional Arabic" w:eastAsia="Times New Roman" w:hAnsi="Traditional Arabic" w:cs="Traditional Arabic"/>
          <w:b/>
          <w:bCs/>
          <w:sz w:val="32"/>
          <w:szCs w:val="32"/>
          <w:lang w:bidi="ar-DZ"/>
        </w:rPr>
        <w:t>.</w:t>
      </w:r>
      <w:r>
        <w:rPr>
          <w:rFonts w:ascii="Traditional Arabic" w:eastAsia="Times New Roman" w:hAnsi="Traditional Arabic" w:cs="Traditional Arabic" w:hint="cs"/>
          <w:b/>
          <w:bCs/>
          <w:sz w:val="32"/>
          <w:szCs w:val="32"/>
          <w:rtl/>
          <w:lang w:bidi="ar-DZ"/>
        </w:rPr>
        <w:t xml:space="preserve"> </w:t>
      </w:r>
    </w:p>
    <w:p w14:paraId="584B2040"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sz w:val="32"/>
          <w:szCs w:val="32"/>
          <w:lang w:bidi="ar-DZ"/>
        </w:rPr>
        <w:t>:</w:t>
      </w:r>
    </w:p>
    <w:p w14:paraId="5521186E" w14:textId="77777777" w:rsidR="00E95BA0" w:rsidRPr="00E95BA0" w:rsidRDefault="00E95BA0" w:rsidP="0099106E">
      <w:pPr>
        <w:numPr>
          <w:ilvl w:val="0"/>
          <w:numId w:val="2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التعرف على نماذج التوريق المستخدمة في شركات التأمين على الأشخاص</w:t>
      </w:r>
      <w:r>
        <w:rPr>
          <w:rFonts w:ascii="Traditional Arabic" w:eastAsia="Times New Roman" w:hAnsi="Traditional Arabic" w:cs="Traditional Arabic"/>
          <w:sz w:val="32"/>
          <w:szCs w:val="32"/>
          <w:lang w:bidi="ar-DZ"/>
        </w:rPr>
        <w:t>.</w:t>
      </w:r>
    </w:p>
    <w:p w14:paraId="71B3245A" w14:textId="77777777" w:rsidR="00E95BA0" w:rsidRPr="00E95BA0" w:rsidRDefault="00E95BA0" w:rsidP="0099106E">
      <w:pPr>
        <w:numPr>
          <w:ilvl w:val="0"/>
          <w:numId w:val="2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آلية عمل كل نموذج من نماذج التوريق</w:t>
      </w:r>
      <w:r>
        <w:rPr>
          <w:rFonts w:ascii="Traditional Arabic" w:eastAsia="Times New Roman" w:hAnsi="Traditional Arabic" w:cs="Traditional Arabic"/>
          <w:sz w:val="32"/>
          <w:szCs w:val="32"/>
          <w:lang w:bidi="ar-DZ"/>
        </w:rPr>
        <w:t>.</w:t>
      </w:r>
    </w:p>
    <w:p w14:paraId="00867C39" w14:textId="77777777" w:rsidR="00E95BA0" w:rsidRPr="00E95BA0" w:rsidRDefault="00E95BA0" w:rsidP="0099106E">
      <w:pPr>
        <w:numPr>
          <w:ilvl w:val="0"/>
          <w:numId w:val="2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إبراز المزايا والمساوئ المرتبطة بكل نموذج تمويلي</w:t>
      </w:r>
      <w:r>
        <w:rPr>
          <w:rFonts w:ascii="Traditional Arabic" w:eastAsia="Times New Roman" w:hAnsi="Traditional Arabic" w:cs="Traditional Arabic"/>
          <w:sz w:val="32"/>
          <w:szCs w:val="32"/>
          <w:lang w:bidi="ar-DZ"/>
        </w:rPr>
        <w:t>.</w:t>
      </w:r>
    </w:p>
    <w:p w14:paraId="42583CFF"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منهج الدراسة</w:t>
      </w:r>
      <w:r>
        <w:rPr>
          <w:rFonts w:ascii="Traditional Arabic" w:eastAsia="Times New Roman" w:hAnsi="Traditional Arabic" w:cs="Traditional Arabic"/>
          <w:sz w:val="32"/>
          <w:szCs w:val="32"/>
          <w:lang w:bidi="ar-DZ"/>
        </w:rPr>
        <w:t xml:space="preserve">: </w:t>
      </w:r>
      <w:r>
        <w:rPr>
          <w:rFonts w:ascii="Traditional Arabic" w:eastAsia="Times New Roman" w:hAnsi="Traditional Arabic" w:cs="Traditional Arabic"/>
          <w:sz w:val="32"/>
          <w:szCs w:val="32"/>
          <w:rtl/>
        </w:rPr>
        <w:t xml:space="preserve">اعتمدت الدراسة على </w:t>
      </w:r>
      <w:r>
        <w:rPr>
          <w:rFonts w:ascii="Traditional Arabic" w:eastAsia="Times New Roman" w:hAnsi="Traditional Arabic" w:cs="Traditional Arabic"/>
          <w:b/>
          <w:bCs/>
          <w:sz w:val="32"/>
          <w:szCs w:val="32"/>
          <w:rtl/>
        </w:rPr>
        <w:t>المنهج الوصفي التحليلي</w:t>
      </w:r>
      <w:r>
        <w:rPr>
          <w:rFonts w:ascii="Traditional Arabic" w:eastAsia="Times New Roman" w:hAnsi="Traditional Arabic" w:cs="Traditional Arabic"/>
          <w:sz w:val="32"/>
          <w:szCs w:val="32"/>
          <w:rtl/>
        </w:rPr>
        <w:t>، من خلال وصف المفاهيم المتعلقة بتوريق التأمين وتحليل النماذج الثلاثة الرئيسة المطبقة في هذا القطاع لبيان كيفية عملها وأثرها على الشركات</w:t>
      </w:r>
      <w:r>
        <w:rPr>
          <w:rFonts w:ascii="Traditional Arabic" w:eastAsia="Times New Roman" w:hAnsi="Traditional Arabic" w:cs="Traditional Arabic"/>
          <w:sz w:val="32"/>
          <w:szCs w:val="32"/>
          <w:lang w:bidi="ar-DZ"/>
        </w:rPr>
        <w:t>.</w:t>
      </w:r>
    </w:p>
    <w:p w14:paraId="4E28D582"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sz w:val="32"/>
          <w:szCs w:val="32"/>
          <w:lang w:bidi="ar-DZ"/>
        </w:rPr>
        <w:t>:</w:t>
      </w:r>
    </w:p>
    <w:p w14:paraId="0F93BD7D" w14:textId="77777777" w:rsidR="00E95BA0" w:rsidRPr="00E95BA0" w:rsidRDefault="00E95BA0" w:rsidP="0099106E">
      <w:pPr>
        <w:numPr>
          <w:ilvl w:val="0"/>
          <w:numId w:val="2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توجد ثلاثة نماذج رئيسة لتوريق التأمين على الأشخاص هي: (توريق الاحتياطات الإضافية، توريق القيمة المضمنة، وتوريق الوفيات الكارثية</w:t>
      </w:r>
      <w:r>
        <w:rPr>
          <w:rFonts w:ascii="Traditional Arabic" w:eastAsia="Times New Roman" w:hAnsi="Traditional Arabic" w:cs="Traditional Arabic" w:hint="cs"/>
          <w:sz w:val="32"/>
          <w:szCs w:val="32"/>
          <w:rtl/>
          <w:lang w:bidi="ar-DZ"/>
        </w:rPr>
        <w:t>)</w:t>
      </w:r>
      <w:r>
        <w:rPr>
          <w:rFonts w:ascii="Traditional Arabic" w:eastAsia="Times New Roman" w:hAnsi="Traditional Arabic" w:cs="Traditional Arabic"/>
          <w:sz w:val="32"/>
          <w:szCs w:val="32"/>
          <w:lang w:bidi="ar-DZ"/>
        </w:rPr>
        <w:t>.</w:t>
      </w:r>
    </w:p>
    <w:p w14:paraId="31D90F0C" w14:textId="77777777" w:rsidR="00E95BA0" w:rsidRPr="00E95BA0" w:rsidRDefault="00E95BA0" w:rsidP="0099106E">
      <w:pPr>
        <w:numPr>
          <w:ilvl w:val="0"/>
          <w:numId w:val="2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كل نموذج له استخدام محدد؛ فتوريق الاحتياطات يهدف لتخفيف المتطلبات الرأسمالية، بينما توريق القيمة المضمنة يهدف لتحرير الأرباح المستقبلية، وتوريق الوفيات يهدف للحماية من المخاطر الكبرى</w:t>
      </w:r>
      <w:r>
        <w:rPr>
          <w:rFonts w:ascii="Traditional Arabic" w:eastAsia="Times New Roman" w:hAnsi="Traditional Arabic" w:cs="Traditional Arabic"/>
          <w:sz w:val="32"/>
          <w:szCs w:val="32"/>
          <w:lang w:bidi="ar-DZ"/>
        </w:rPr>
        <w:t>.</w:t>
      </w:r>
    </w:p>
    <w:p w14:paraId="6F230065" w14:textId="77777777" w:rsidR="00E95BA0" w:rsidRDefault="00E95BA0" w:rsidP="0099106E">
      <w:pPr>
        <w:numPr>
          <w:ilvl w:val="0"/>
          <w:numId w:val="2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اختيار النموذج المناسب يعتمد بشكل كلي على احتياجات الشركة والأهداف الاستراتيجية التي تسعى لتحقيقها</w:t>
      </w:r>
      <w:r>
        <w:rPr>
          <w:rFonts w:ascii="Traditional Arabic" w:eastAsia="Times New Roman" w:hAnsi="Traditional Arabic" w:cs="Traditional Arabic"/>
          <w:sz w:val="32"/>
          <w:szCs w:val="32"/>
          <w:lang w:bidi="ar-DZ"/>
        </w:rPr>
        <w:t>.</w:t>
      </w:r>
    </w:p>
    <w:p w14:paraId="2CD31602" w14:textId="77777777" w:rsidR="00E95BA0" w:rsidRPr="00E95BA0" w:rsidRDefault="00E95BA0"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sz w:val="32"/>
          <w:szCs w:val="32"/>
          <w:lang w:bidi="ar-DZ"/>
        </w:rPr>
        <w:t>:</w:t>
      </w:r>
    </w:p>
    <w:p w14:paraId="3900132F" w14:textId="77777777" w:rsidR="00E95BA0" w:rsidRPr="00E95BA0" w:rsidRDefault="00E95BA0" w:rsidP="0099106E">
      <w:pPr>
        <w:numPr>
          <w:ilvl w:val="0"/>
          <w:numId w:val="29"/>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تكمن الأهمية في تسليط الضوء على أداة تمويلية حديثة (التوريق) في قطاع التأمين، مما يساعد الشركات على إدارة سيولتها ومخاطرها بشكل أفضل</w:t>
      </w:r>
      <w:r>
        <w:rPr>
          <w:rFonts w:ascii="Traditional Arabic" w:eastAsia="Times New Roman" w:hAnsi="Traditional Arabic" w:cs="Traditional Arabic"/>
          <w:sz w:val="32"/>
          <w:szCs w:val="32"/>
          <w:lang w:bidi="ar-DZ"/>
        </w:rPr>
        <w:t>.</w:t>
      </w:r>
    </w:p>
    <w:p w14:paraId="52ECBE5A" w14:textId="77777777" w:rsidR="00E95BA0" w:rsidRDefault="00E95BA0" w:rsidP="0099106E">
      <w:pPr>
        <w:numPr>
          <w:ilvl w:val="0"/>
          <w:numId w:val="29"/>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توفير إطار نظري وتحليلي لصناع القرار في شركات التأمين حول كيفية تحويل الالتزامات التأمينية إلى أوراق مالية قابلة للتداول في الأسواق</w:t>
      </w:r>
      <w:r>
        <w:rPr>
          <w:rFonts w:ascii="Traditional Arabic" w:eastAsia="Times New Roman" w:hAnsi="Traditional Arabic" w:cs="Traditional Arabic"/>
          <w:sz w:val="32"/>
          <w:szCs w:val="32"/>
          <w:lang w:bidi="ar-DZ"/>
        </w:rPr>
        <w:t>.</w:t>
      </w:r>
    </w:p>
    <w:p w14:paraId="5F4F5916" w14:textId="77777777" w:rsidR="009044C7" w:rsidRPr="009044C7" w:rsidRDefault="009044C7" w:rsidP="0099106E">
      <w:pPr>
        <w:pStyle w:val="Paragraphedeliste"/>
        <w:numPr>
          <w:ilvl w:val="0"/>
          <w:numId w:val="39"/>
        </w:numPr>
        <w:bidi/>
        <w:spacing w:after="0" w:line="240" w:lineRule="auto"/>
        <w:rPr>
          <w:rFonts w:ascii="Traditional Arabic" w:eastAsia="Times New Roman" w:hAnsi="Traditional Arabic" w:cs="Traditional Arabic"/>
          <w:b/>
          <w:bCs/>
          <w:sz w:val="32"/>
          <w:szCs w:val="32"/>
          <w:rtl/>
        </w:rPr>
      </w:pPr>
      <w:r>
        <w:rPr>
          <w:rFonts w:ascii="Traditional Arabic" w:eastAsia="Times New Roman" w:hAnsi="Traditional Arabic" w:cs="Traditional Arabic" w:hint="cs"/>
          <w:b/>
          <w:bCs/>
          <w:sz w:val="32"/>
          <w:szCs w:val="32"/>
          <w:rtl/>
        </w:rPr>
        <w:t xml:space="preserve">دراسة </w:t>
      </w:r>
      <w:r>
        <w:rPr>
          <w:rFonts w:ascii="Traditional Arabic" w:eastAsia="Times New Roman" w:hAnsi="Traditional Arabic" w:cs="Traditional Arabic"/>
          <w:b/>
          <w:bCs/>
          <w:sz w:val="32"/>
          <w:szCs w:val="32"/>
          <w:rtl/>
        </w:rPr>
        <w:t>د. سامي السويلم</w:t>
      </w:r>
      <w:r>
        <w:rPr>
          <w:rFonts w:ascii="Traditional Arabic" w:eastAsia="Times New Roman" w:hAnsi="Traditional Arabic" w:cs="Traditional Arabic" w:hint="cs"/>
          <w:b/>
          <w:bCs/>
          <w:sz w:val="32"/>
          <w:szCs w:val="32"/>
          <w:rtl/>
        </w:rPr>
        <w:t xml:space="preserve"> (2020)</w:t>
      </w:r>
    </w:p>
    <w:p w14:paraId="02198B65" w14:textId="77777777" w:rsidR="009044C7" w:rsidRPr="00282CEF" w:rsidRDefault="009044C7"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rPr>
        <w:t xml:space="preserve">المعنونة بـــ" </w:t>
      </w:r>
      <w:r>
        <w:rPr>
          <w:rFonts w:ascii="Traditional Arabic" w:eastAsia="Times New Roman" w:hAnsi="Traditional Arabic" w:cs="Traditional Arabic"/>
          <w:b/>
          <w:bCs/>
          <w:sz w:val="32"/>
          <w:szCs w:val="32"/>
          <w:rtl/>
        </w:rPr>
        <w:t>الضوابط الشرعية لعملية توريق الديون وتطبيقاتها في المصارف الإسلامية</w:t>
      </w:r>
      <w:r>
        <w:rPr>
          <w:rFonts w:ascii="Traditional Arabic" w:eastAsia="Times New Roman" w:hAnsi="Traditional Arabic" w:cs="Traditional Arabic"/>
          <w:b/>
          <w:bCs/>
          <w:sz w:val="32"/>
          <w:szCs w:val="32"/>
          <w:lang w:bidi="ar-DZ"/>
        </w:rPr>
        <w:t>.</w:t>
      </w:r>
      <w:r>
        <w:rPr>
          <w:rFonts w:ascii="Traditional Arabic" w:eastAsia="Times New Roman" w:hAnsi="Traditional Arabic" w:cs="Traditional Arabic" w:hint="cs"/>
          <w:b/>
          <w:bCs/>
          <w:sz w:val="32"/>
          <w:szCs w:val="32"/>
          <w:rtl/>
          <w:lang w:bidi="ar-DZ"/>
        </w:rPr>
        <w:t>"</w:t>
      </w:r>
    </w:p>
    <w:p w14:paraId="29055279" w14:textId="77777777" w:rsidR="009044C7" w:rsidRPr="00DF0B27" w:rsidRDefault="009044C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b/>
          <w:bCs/>
          <w:sz w:val="32"/>
          <w:szCs w:val="32"/>
          <w:lang w:bidi="ar-DZ"/>
        </w:rPr>
        <w:t>:</w:t>
      </w:r>
    </w:p>
    <w:p w14:paraId="4C39A8F3" w14:textId="77777777" w:rsidR="009044C7" w:rsidRPr="00DF0B27" w:rsidRDefault="009044C7" w:rsidP="0099106E">
      <w:pPr>
        <w:numPr>
          <w:ilvl w:val="1"/>
          <w:numId w:val="3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التأصيل الشرعي لمفهوم توريق الديون والفرق بينه وبين "بيع الدين بالدين" المنهي عنه</w:t>
      </w:r>
      <w:r>
        <w:rPr>
          <w:rFonts w:ascii="Traditional Arabic" w:eastAsia="Times New Roman" w:hAnsi="Traditional Arabic" w:cs="Traditional Arabic"/>
          <w:sz w:val="32"/>
          <w:szCs w:val="32"/>
          <w:lang w:bidi="ar-DZ"/>
        </w:rPr>
        <w:t>.</w:t>
      </w:r>
    </w:p>
    <w:p w14:paraId="5B135D93" w14:textId="77777777" w:rsidR="009044C7" w:rsidRPr="00DF0B27" w:rsidRDefault="009044C7" w:rsidP="0099106E">
      <w:pPr>
        <w:numPr>
          <w:ilvl w:val="1"/>
          <w:numId w:val="3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البحث عن بدائل شرعية لعملية التوريق التقليدي مثل (توريق الأعيان، توريق المنافع، والصكوك</w:t>
      </w:r>
      <w:r>
        <w:rPr>
          <w:rFonts w:ascii="Traditional Arabic" w:eastAsia="Times New Roman" w:hAnsi="Traditional Arabic" w:cs="Traditional Arabic" w:hint="cs"/>
          <w:sz w:val="32"/>
          <w:szCs w:val="32"/>
          <w:rtl/>
          <w:lang w:bidi="ar-DZ"/>
        </w:rPr>
        <w:t>)</w:t>
      </w:r>
      <w:r>
        <w:rPr>
          <w:rFonts w:ascii="Traditional Arabic" w:eastAsia="Times New Roman" w:hAnsi="Traditional Arabic" w:cs="Traditional Arabic"/>
          <w:sz w:val="32"/>
          <w:szCs w:val="32"/>
          <w:lang w:bidi="ar-DZ"/>
        </w:rPr>
        <w:t>.</w:t>
      </w:r>
    </w:p>
    <w:p w14:paraId="10F9AE71" w14:textId="77777777" w:rsidR="009044C7" w:rsidRPr="00DF0B27" w:rsidRDefault="009044C7" w:rsidP="0099106E">
      <w:pPr>
        <w:numPr>
          <w:ilvl w:val="1"/>
          <w:numId w:val="3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هيكلية "صكوك الإجارة" و"صكوك المشاركة" كأدوات توريق إسلامية</w:t>
      </w:r>
      <w:r>
        <w:rPr>
          <w:rFonts w:ascii="Traditional Arabic" w:eastAsia="Times New Roman" w:hAnsi="Traditional Arabic" w:cs="Traditional Arabic"/>
          <w:sz w:val="32"/>
          <w:szCs w:val="32"/>
          <w:lang w:bidi="ar-DZ"/>
        </w:rPr>
        <w:t>.</w:t>
      </w:r>
    </w:p>
    <w:p w14:paraId="55A5D6F4" w14:textId="77777777" w:rsidR="009044C7" w:rsidRPr="00DF0B27" w:rsidRDefault="009044C7" w:rsidP="0099106E">
      <w:pPr>
        <w:numPr>
          <w:ilvl w:val="1"/>
          <w:numId w:val="3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وضع ضوابط لمنع الغرر والربا في عمليات تحويل الأصول إلى أوراق مالية</w:t>
      </w:r>
      <w:r>
        <w:rPr>
          <w:rFonts w:ascii="Traditional Arabic" w:eastAsia="Times New Roman" w:hAnsi="Traditional Arabic" w:cs="Traditional Arabic"/>
          <w:sz w:val="32"/>
          <w:szCs w:val="32"/>
          <w:lang w:bidi="ar-DZ"/>
        </w:rPr>
        <w:t>.</w:t>
      </w:r>
    </w:p>
    <w:p w14:paraId="5634276E" w14:textId="77777777" w:rsidR="009044C7" w:rsidRPr="00DF0B27" w:rsidRDefault="009044C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lastRenderedPageBreak/>
        <w:t>نتائج الدراسة</w:t>
      </w:r>
      <w:r>
        <w:rPr>
          <w:rFonts w:ascii="Traditional Arabic" w:eastAsia="Times New Roman" w:hAnsi="Traditional Arabic" w:cs="Traditional Arabic"/>
          <w:b/>
          <w:bCs/>
          <w:sz w:val="32"/>
          <w:szCs w:val="32"/>
          <w:lang w:bidi="ar-DZ"/>
        </w:rPr>
        <w:t>:</w:t>
      </w:r>
    </w:p>
    <w:p w14:paraId="29D98A2B" w14:textId="77777777" w:rsidR="009044C7" w:rsidRPr="00DF0B27" w:rsidRDefault="009044C7" w:rsidP="0099106E">
      <w:pPr>
        <w:numPr>
          <w:ilvl w:val="1"/>
          <w:numId w:val="43"/>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التقليدي القائم على "بيع الديون" بخصم</w:t>
      </w:r>
      <w:r>
        <w:rPr>
          <w:rFonts w:ascii="Traditional Arabic" w:eastAsia="Times New Roman" w:hAnsi="Traditional Arabic" w:cs="Traditional Arabic"/>
          <w:sz w:val="32"/>
          <w:szCs w:val="32"/>
          <w:lang w:bidi="ar-DZ"/>
        </w:rPr>
        <w:t xml:space="preserve"> (Discount) </w:t>
      </w:r>
      <w:r>
        <w:rPr>
          <w:rFonts w:ascii="Traditional Arabic" w:eastAsia="Times New Roman" w:hAnsi="Traditional Arabic" w:cs="Traditional Arabic"/>
          <w:sz w:val="32"/>
          <w:szCs w:val="32"/>
          <w:rtl/>
        </w:rPr>
        <w:t>غير جائز شرعاً لاشتماله على الربا</w:t>
      </w:r>
      <w:r>
        <w:rPr>
          <w:rFonts w:ascii="Traditional Arabic" w:eastAsia="Times New Roman" w:hAnsi="Traditional Arabic" w:cs="Traditional Arabic"/>
          <w:sz w:val="32"/>
          <w:szCs w:val="32"/>
          <w:lang w:bidi="ar-DZ"/>
        </w:rPr>
        <w:t>.</w:t>
      </w:r>
    </w:p>
    <w:p w14:paraId="199659FB" w14:textId="77777777" w:rsidR="009044C7" w:rsidRPr="00DF0B27" w:rsidRDefault="009044C7" w:rsidP="0099106E">
      <w:pPr>
        <w:numPr>
          <w:ilvl w:val="1"/>
          <w:numId w:val="43"/>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الإسلامي يجب أن يقوم على توريق "أصول حقيقية" أو "منافع" وليس مجرد ديون نقدية</w:t>
      </w:r>
      <w:r>
        <w:rPr>
          <w:rFonts w:ascii="Traditional Arabic" w:eastAsia="Times New Roman" w:hAnsi="Traditional Arabic" w:cs="Traditional Arabic"/>
          <w:sz w:val="32"/>
          <w:szCs w:val="32"/>
          <w:lang w:bidi="ar-DZ"/>
        </w:rPr>
        <w:t>.</w:t>
      </w:r>
    </w:p>
    <w:p w14:paraId="3806BB2A" w14:textId="77777777" w:rsidR="009044C7" w:rsidRPr="00DF0B27" w:rsidRDefault="009044C7" w:rsidP="0099106E">
      <w:pPr>
        <w:numPr>
          <w:ilvl w:val="1"/>
          <w:numId w:val="43"/>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 xml:space="preserve">الصكوك الإسلامية تمثل البديل الشرعي </w:t>
      </w:r>
      <w:proofErr w:type="spellStart"/>
      <w:r>
        <w:rPr>
          <w:rFonts w:ascii="Traditional Arabic" w:eastAsia="Times New Roman" w:hAnsi="Traditional Arabic" w:cs="Traditional Arabic"/>
          <w:sz w:val="32"/>
          <w:szCs w:val="32"/>
          <w:rtl/>
        </w:rPr>
        <w:t>الأنجع</w:t>
      </w:r>
      <w:proofErr w:type="spellEnd"/>
      <w:r>
        <w:rPr>
          <w:rFonts w:ascii="Traditional Arabic" w:eastAsia="Times New Roman" w:hAnsi="Traditional Arabic" w:cs="Traditional Arabic"/>
          <w:sz w:val="32"/>
          <w:szCs w:val="32"/>
          <w:rtl/>
        </w:rPr>
        <w:t xml:space="preserve"> للتوريق، حيث حققت نجاحاً عالمياً كبيراً</w:t>
      </w:r>
      <w:r>
        <w:rPr>
          <w:rFonts w:ascii="Traditional Arabic" w:eastAsia="Times New Roman" w:hAnsi="Traditional Arabic" w:cs="Traditional Arabic"/>
          <w:sz w:val="32"/>
          <w:szCs w:val="32"/>
          <w:lang w:bidi="ar-DZ"/>
        </w:rPr>
        <w:t>.</w:t>
      </w:r>
    </w:p>
    <w:p w14:paraId="754710F2" w14:textId="77777777" w:rsidR="009044C7" w:rsidRPr="00DF0B27" w:rsidRDefault="009044C7" w:rsidP="0099106E">
      <w:pPr>
        <w:numPr>
          <w:ilvl w:val="1"/>
          <w:numId w:val="43"/>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يجب أن يتحمل المستثمر في التوريق الإسلامي جزءاً من المخاطر المرتبطة بالأصل لضمان شرعية الربح</w:t>
      </w:r>
      <w:r>
        <w:rPr>
          <w:rFonts w:ascii="Traditional Arabic" w:eastAsia="Times New Roman" w:hAnsi="Traditional Arabic" w:cs="Traditional Arabic"/>
          <w:sz w:val="32"/>
          <w:szCs w:val="32"/>
          <w:lang w:bidi="ar-DZ"/>
        </w:rPr>
        <w:t>.</w:t>
      </w:r>
    </w:p>
    <w:p w14:paraId="42621A30" w14:textId="77777777" w:rsidR="009044C7" w:rsidRPr="00DF0B27" w:rsidRDefault="009044C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b/>
          <w:bCs/>
          <w:sz w:val="32"/>
          <w:szCs w:val="32"/>
          <w:lang w:bidi="ar-DZ"/>
        </w:rPr>
        <w:t>:</w:t>
      </w:r>
    </w:p>
    <w:p w14:paraId="48936A18" w14:textId="77777777" w:rsidR="009044C7" w:rsidRPr="009044C7" w:rsidRDefault="009044C7" w:rsidP="0099106E">
      <w:pPr>
        <w:pStyle w:val="Paragraphedeliste"/>
        <w:numPr>
          <w:ilvl w:val="0"/>
          <w:numId w:val="42"/>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تفتح المجال أمام المصارف الإسلامية للدخول في أسواق المال العالمية بأدوات منضبطة شرعاً</w:t>
      </w:r>
      <w:r>
        <w:rPr>
          <w:rFonts w:ascii="Traditional Arabic" w:eastAsia="Times New Roman" w:hAnsi="Traditional Arabic" w:cs="Traditional Arabic"/>
          <w:sz w:val="32"/>
          <w:szCs w:val="32"/>
          <w:lang w:bidi="ar-DZ"/>
        </w:rPr>
        <w:t>.</w:t>
      </w:r>
    </w:p>
    <w:p w14:paraId="5A59FF92" w14:textId="77777777" w:rsidR="009044C7" w:rsidRPr="009044C7" w:rsidRDefault="009044C7" w:rsidP="0099106E">
      <w:pPr>
        <w:pStyle w:val="Paragraphedeliste"/>
        <w:numPr>
          <w:ilvl w:val="0"/>
          <w:numId w:val="42"/>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توفر طمأنينة للمستثمرين الراغبين في عوائد مالية تتوافق مع أحكام الشريعة</w:t>
      </w:r>
      <w:r>
        <w:rPr>
          <w:rFonts w:ascii="Traditional Arabic" w:eastAsia="Times New Roman" w:hAnsi="Traditional Arabic" w:cs="Traditional Arabic"/>
          <w:sz w:val="32"/>
          <w:szCs w:val="32"/>
          <w:lang w:bidi="ar-DZ"/>
        </w:rPr>
        <w:t>.</w:t>
      </w:r>
    </w:p>
    <w:p w14:paraId="49AE709C" w14:textId="77777777" w:rsidR="009044C7" w:rsidRPr="009044C7" w:rsidRDefault="009044C7" w:rsidP="0099106E">
      <w:pPr>
        <w:pStyle w:val="Paragraphedeliste"/>
        <w:numPr>
          <w:ilvl w:val="0"/>
          <w:numId w:val="42"/>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تساعد في تطوير صناعة "المالية الإسلامية" كبديل آمن للأزمات المالية العالمية</w:t>
      </w:r>
      <w:r>
        <w:rPr>
          <w:rFonts w:ascii="Traditional Arabic" w:eastAsia="Times New Roman" w:hAnsi="Traditional Arabic" w:cs="Traditional Arabic"/>
          <w:sz w:val="32"/>
          <w:szCs w:val="32"/>
          <w:lang w:bidi="ar-DZ"/>
        </w:rPr>
        <w:t>.</w:t>
      </w:r>
    </w:p>
    <w:p w14:paraId="4422F214" w14:textId="77777777" w:rsidR="009044C7" w:rsidRPr="009044C7" w:rsidRDefault="009044C7" w:rsidP="0099106E">
      <w:pPr>
        <w:pStyle w:val="Paragraphedeliste"/>
        <w:numPr>
          <w:ilvl w:val="0"/>
          <w:numId w:val="42"/>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تسد الثغرة بين الفقه التقليدي والمعاملات المالية المعاصرة والمعقدة</w:t>
      </w:r>
      <w:r>
        <w:rPr>
          <w:rFonts w:ascii="Traditional Arabic" w:eastAsia="Times New Roman" w:hAnsi="Traditional Arabic" w:cs="Traditional Arabic"/>
          <w:sz w:val="32"/>
          <w:szCs w:val="32"/>
          <w:lang w:bidi="ar-DZ"/>
        </w:rPr>
        <w:t>.</w:t>
      </w:r>
    </w:p>
    <w:p w14:paraId="0BADC834" w14:textId="77777777" w:rsidR="009044C7" w:rsidRPr="009044C7" w:rsidRDefault="009044C7" w:rsidP="0099106E">
      <w:pPr>
        <w:pStyle w:val="Paragraphedeliste"/>
        <w:numPr>
          <w:ilvl w:val="0"/>
          <w:numId w:val="39"/>
        </w:num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دراسة </w:t>
      </w:r>
      <w:r>
        <w:rPr>
          <w:rFonts w:ascii="Traditional Arabic" w:eastAsia="Times New Roman" w:hAnsi="Traditional Arabic" w:cs="Traditional Arabic"/>
          <w:b/>
          <w:bCs/>
          <w:sz w:val="32"/>
          <w:szCs w:val="32"/>
          <w:rtl/>
        </w:rPr>
        <w:t>د. علاء الدين جاسم الجنابي</w:t>
      </w:r>
      <w:r>
        <w:rPr>
          <w:rFonts w:ascii="Traditional Arabic" w:eastAsia="Times New Roman" w:hAnsi="Traditional Arabic" w:cs="Traditional Arabic"/>
          <w:b/>
          <w:bCs/>
          <w:sz w:val="32"/>
          <w:szCs w:val="32"/>
          <w:lang w:bidi="ar-DZ"/>
        </w:rPr>
        <w:t>.</w:t>
      </w:r>
      <w:r>
        <w:rPr>
          <w:rFonts w:ascii="Traditional Arabic" w:eastAsia="Times New Roman" w:hAnsi="Traditional Arabic" w:cs="Traditional Arabic" w:hint="cs"/>
          <w:b/>
          <w:bCs/>
          <w:sz w:val="32"/>
          <w:szCs w:val="32"/>
          <w:rtl/>
          <w:lang w:bidi="ar-DZ"/>
        </w:rPr>
        <w:t xml:space="preserve"> (2021)</w:t>
      </w:r>
    </w:p>
    <w:p w14:paraId="24E62BB0" w14:textId="77777777" w:rsidR="00DF0B27" w:rsidRPr="00282CEF" w:rsidRDefault="009044C7"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rPr>
        <w:t>المعنونة بــ"</w:t>
      </w:r>
      <w:r>
        <w:rPr>
          <w:rFonts w:ascii="Traditional Arabic" w:eastAsia="Times New Roman" w:hAnsi="Traditional Arabic" w:cs="Traditional Arabic"/>
          <w:b/>
          <w:bCs/>
          <w:sz w:val="32"/>
          <w:szCs w:val="32"/>
          <w:lang w:bidi="ar-DZ"/>
        </w:rPr>
        <w:t xml:space="preserve"> </w:t>
      </w:r>
      <w:r>
        <w:rPr>
          <w:rFonts w:ascii="Traditional Arabic" w:eastAsia="Times New Roman" w:hAnsi="Traditional Arabic" w:cs="Traditional Arabic"/>
          <w:b/>
          <w:bCs/>
          <w:sz w:val="32"/>
          <w:szCs w:val="32"/>
          <w:rtl/>
        </w:rPr>
        <w:t>التوريق كأداة لإدارة مخاطر الائتمان في المصارف التجارية</w:t>
      </w:r>
      <w:r>
        <w:rPr>
          <w:rFonts w:ascii="Traditional Arabic" w:eastAsia="Times New Roman" w:hAnsi="Traditional Arabic" w:cs="Traditional Arabic" w:hint="cs"/>
          <w:b/>
          <w:bCs/>
          <w:sz w:val="32"/>
          <w:szCs w:val="32"/>
          <w:rtl/>
        </w:rPr>
        <w:t>"</w:t>
      </w:r>
      <w:r>
        <w:rPr>
          <w:rFonts w:ascii="Traditional Arabic" w:eastAsia="Times New Roman" w:hAnsi="Traditional Arabic" w:cs="Traditional Arabic"/>
          <w:b/>
          <w:bCs/>
          <w:sz w:val="32"/>
          <w:szCs w:val="32"/>
          <w:lang w:bidi="ar-DZ"/>
        </w:rPr>
        <w:t>.</w:t>
      </w:r>
    </w:p>
    <w:p w14:paraId="2D26CCA4"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b/>
          <w:bCs/>
          <w:sz w:val="32"/>
          <w:szCs w:val="32"/>
          <w:lang w:bidi="ar-DZ"/>
        </w:rPr>
        <w:t>:</w:t>
      </w:r>
    </w:p>
    <w:p w14:paraId="448570EA"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توضيح الدور الذي يلعبه التوريق في تحويل المخاطر الائتمانية من الميزانية العمومية للبنك إلى المستثمرين</w:t>
      </w:r>
      <w:r>
        <w:rPr>
          <w:rFonts w:ascii="Traditional Arabic" w:eastAsia="Times New Roman" w:hAnsi="Traditional Arabic" w:cs="Traditional Arabic"/>
          <w:sz w:val="32"/>
          <w:szCs w:val="32"/>
          <w:lang w:bidi="ar-DZ"/>
        </w:rPr>
        <w:t>.</w:t>
      </w:r>
    </w:p>
    <w:p w14:paraId="4E49A9D5"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آليات حماية المصارف من مخاطر التعثر عبر تنويع المحفظة الاستثمارية</w:t>
      </w:r>
      <w:r>
        <w:rPr>
          <w:rFonts w:ascii="Traditional Arabic" w:eastAsia="Times New Roman" w:hAnsi="Traditional Arabic" w:cs="Traditional Arabic"/>
          <w:sz w:val="32"/>
          <w:szCs w:val="32"/>
          <w:lang w:bidi="ar-DZ"/>
        </w:rPr>
        <w:t>.</w:t>
      </w:r>
    </w:p>
    <w:p w14:paraId="7B052EA3"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دراسة المتطلبات القانونية والتقنية اللازمة لإصدار السندات المورقة في البيئة العربية</w:t>
      </w:r>
      <w:r>
        <w:rPr>
          <w:rFonts w:ascii="Traditional Arabic" w:eastAsia="Times New Roman" w:hAnsi="Traditional Arabic" w:cs="Traditional Arabic"/>
          <w:sz w:val="32"/>
          <w:szCs w:val="32"/>
          <w:lang w:bidi="ar-DZ"/>
        </w:rPr>
        <w:t>.</w:t>
      </w:r>
    </w:p>
    <w:p w14:paraId="10DB1063"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تقييم أثر التوريق على كفاية رأس المال وفقاً لمعايير لجنة بازل</w:t>
      </w:r>
      <w:r>
        <w:rPr>
          <w:rFonts w:ascii="Traditional Arabic" w:eastAsia="Times New Roman" w:hAnsi="Traditional Arabic" w:cs="Traditional Arabic"/>
          <w:sz w:val="32"/>
          <w:szCs w:val="32"/>
          <w:lang w:bidi="ar-DZ"/>
        </w:rPr>
        <w:t>.</w:t>
      </w:r>
    </w:p>
    <w:p w14:paraId="3F107278"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b/>
          <w:bCs/>
          <w:sz w:val="32"/>
          <w:szCs w:val="32"/>
          <w:lang w:bidi="ar-DZ"/>
        </w:rPr>
        <w:t>:</w:t>
      </w:r>
    </w:p>
    <w:p w14:paraId="75042A86"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يعمل التوريق على تحسين سيولة المصرف بشكل فوري من خلال تحويل الديون الآجلة إلى نقد حاضر</w:t>
      </w:r>
      <w:r>
        <w:rPr>
          <w:rFonts w:ascii="Traditional Arabic" w:eastAsia="Times New Roman" w:hAnsi="Traditional Arabic" w:cs="Traditional Arabic"/>
          <w:sz w:val="32"/>
          <w:szCs w:val="32"/>
          <w:lang w:bidi="ar-DZ"/>
        </w:rPr>
        <w:t>.</w:t>
      </w:r>
    </w:p>
    <w:p w14:paraId="3BE05B14"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يساهم التوريق في خفض نسبة الديون المشكوك في تحصيلها من خلال بيعها لشركات الغرض الخاص</w:t>
      </w:r>
      <w:r>
        <w:rPr>
          <w:rFonts w:ascii="Traditional Arabic" w:eastAsia="Times New Roman" w:hAnsi="Traditional Arabic" w:cs="Traditional Arabic"/>
          <w:sz w:val="32"/>
          <w:szCs w:val="32"/>
          <w:lang w:bidi="ar-DZ"/>
        </w:rPr>
        <w:t xml:space="preserve"> (SPV).</w:t>
      </w:r>
    </w:p>
    <w:p w14:paraId="2912E69C"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أثبتت الدراسة أن المصارف التي تستخدم التوريق تمتلك قدرة أكبر على منح قروض جديدة دون الإخلال بنسب السيولة</w:t>
      </w:r>
      <w:r>
        <w:rPr>
          <w:rFonts w:ascii="Traditional Arabic" w:eastAsia="Times New Roman" w:hAnsi="Traditional Arabic" w:cs="Traditional Arabic"/>
          <w:sz w:val="32"/>
          <w:szCs w:val="32"/>
          <w:lang w:bidi="ar-DZ"/>
        </w:rPr>
        <w:t>.</w:t>
      </w:r>
    </w:p>
    <w:p w14:paraId="5525A811"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يقلل من تكلفة التمويل الإجمالية للبنك مقارنة بالاقتراض المباشر من البنوك الأخرى</w:t>
      </w:r>
      <w:r>
        <w:rPr>
          <w:rFonts w:ascii="Traditional Arabic" w:eastAsia="Times New Roman" w:hAnsi="Traditional Arabic" w:cs="Traditional Arabic"/>
          <w:sz w:val="32"/>
          <w:szCs w:val="32"/>
          <w:lang w:bidi="ar-DZ"/>
        </w:rPr>
        <w:t>.</w:t>
      </w:r>
    </w:p>
    <w:p w14:paraId="20AD7343"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b/>
          <w:bCs/>
          <w:sz w:val="32"/>
          <w:szCs w:val="32"/>
          <w:lang w:bidi="ar-DZ"/>
        </w:rPr>
        <w:t>:</w:t>
      </w:r>
    </w:p>
    <w:p w14:paraId="392B9813"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تقدم إطاراً عملياً للمصارف التجارية لإدارة أزمات السيولة المفاجئة</w:t>
      </w:r>
      <w:r>
        <w:rPr>
          <w:rFonts w:ascii="Traditional Arabic" w:eastAsia="Times New Roman" w:hAnsi="Traditional Arabic" w:cs="Traditional Arabic"/>
          <w:sz w:val="32"/>
          <w:szCs w:val="32"/>
          <w:lang w:bidi="ar-DZ"/>
        </w:rPr>
        <w:t>.</w:t>
      </w:r>
    </w:p>
    <w:p w14:paraId="5875D65C"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تساعد الإدارات البنكية في اتخاذ قرارات مدروسة حول "بيع الديون" مقابل "الاحتفاظ بها</w:t>
      </w:r>
      <w:r>
        <w:rPr>
          <w:rFonts w:ascii="Traditional Arabic" w:eastAsia="Times New Roman" w:hAnsi="Traditional Arabic" w:cs="Traditional Arabic"/>
          <w:sz w:val="32"/>
          <w:szCs w:val="32"/>
          <w:lang w:bidi="ar-DZ"/>
        </w:rPr>
        <w:t>".</w:t>
      </w:r>
    </w:p>
    <w:p w14:paraId="3BAD6FDF" w14:textId="77777777" w:rsidR="00DF0B27" w:rsidRPr="009044C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تعتبر مرجعاً لتطوير الأدوات المالية في أسواق رأس المال العربية</w:t>
      </w:r>
      <w:r>
        <w:rPr>
          <w:rFonts w:ascii="Traditional Arabic" w:eastAsia="Times New Roman" w:hAnsi="Traditional Arabic" w:cs="Traditional Arabic"/>
          <w:sz w:val="32"/>
          <w:szCs w:val="32"/>
          <w:lang w:bidi="ar-DZ"/>
        </w:rPr>
        <w:t>.</w:t>
      </w:r>
    </w:p>
    <w:p w14:paraId="07A99FCC" w14:textId="77777777" w:rsidR="00DF0B27" w:rsidRDefault="00DF0B27" w:rsidP="0099106E">
      <w:pPr>
        <w:pStyle w:val="Paragraphedeliste"/>
        <w:numPr>
          <w:ilvl w:val="0"/>
          <w:numId w:val="4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تسلط الضوء على ضرورة وجود وكالات تصنيف ائتماني محلية قوية لتقييم السندات المورقة</w:t>
      </w:r>
      <w:r>
        <w:rPr>
          <w:rFonts w:ascii="Traditional Arabic" w:eastAsia="Times New Roman" w:hAnsi="Traditional Arabic" w:cs="Traditional Arabic"/>
          <w:sz w:val="32"/>
          <w:szCs w:val="32"/>
          <w:lang w:bidi="ar-DZ"/>
        </w:rPr>
        <w:t>.</w:t>
      </w:r>
    </w:p>
    <w:p w14:paraId="11640A29" w14:textId="77777777" w:rsidR="00D46F2C" w:rsidRPr="00D46F2C" w:rsidRDefault="00D46F2C" w:rsidP="0099106E">
      <w:pPr>
        <w:bidi/>
        <w:spacing w:after="0" w:line="240" w:lineRule="auto"/>
        <w:rPr>
          <w:rFonts w:ascii="Traditional Arabic" w:eastAsia="Times New Roman" w:hAnsi="Traditional Arabic" w:cs="Traditional Arabic"/>
          <w:sz w:val="32"/>
          <w:szCs w:val="32"/>
          <w:lang w:bidi="ar-DZ"/>
        </w:rPr>
      </w:pPr>
    </w:p>
    <w:p w14:paraId="45E69173" w14:textId="77777777" w:rsidR="009044C7" w:rsidRPr="009044C7" w:rsidRDefault="009044C7" w:rsidP="0099106E">
      <w:pPr>
        <w:pStyle w:val="Paragraphedeliste"/>
        <w:numPr>
          <w:ilvl w:val="0"/>
          <w:numId w:val="39"/>
        </w:numPr>
        <w:bidi/>
        <w:spacing w:after="0" w:line="240" w:lineRule="auto"/>
        <w:rPr>
          <w:rFonts w:ascii="Traditional Arabic" w:eastAsia="Times New Roman" w:hAnsi="Traditional Arabic" w:cs="Traditional Arabic"/>
          <w:b/>
          <w:bCs/>
          <w:sz w:val="32"/>
          <w:szCs w:val="32"/>
          <w:rtl/>
        </w:rPr>
      </w:pPr>
      <w:r>
        <w:rPr>
          <w:rFonts w:ascii="Traditional Arabic" w:eastAsia="Times New Roman" w:hAnsi="Traditional Arabic" w:cs="Traditional Arabic" w:hint="cs"/>
          <w:b/>
          <w:bCs/>
          <w:sz w:val="32"/>
          <w:szCs w:val="32"/>
          <w:rtl/>
        </w:rPr>
        <w:t xml:space="preserve">دراسة </w:t>
      </w:r>
      <w:proofErr w:type="spellStart"/>
      <w:r>
        <w:rPr>
          <w:rFonts w:ascii="Traditional Arabic" w:eastAsia="Times New Roman" w:hAnsi="Traditional Arabic" w:cs="Traditional Arabic"/>
          <w:b/>
          <w:bCs/>
          <w:sz w:val="32"/>
          <w:szCs w:val="32"/>
          <w:rtl/>
        </w:rPr>
        <w:t>بوزياني</w:t>
      </w:r>
      <w:proofErr w:type="spellEnd"/>
      <w:r>
        <w:rPr>
          <w:rFonts w:ascii="Traditional Arabic" w:eastAsia="Times New Roman" w:hAnsi="Traditional Arabic" w:cs="Traditional Arabic"/>
          <w:b/>
          <w:bCs/>
          <w:sz w:val="32"/>
          <w:szCs w:val="32"/>
          <w:rtl/>
        </w:rPr>
        <w:t xml:space="preserve"> محمد </w:t>
      </w:r>
      <w:r>
        <w:rPr>
          <w:rFonts w:ascii="Traditional Arabic" w:eastAsia="Times New Roman" w:hAnsi="Traditional Arabic" w:cs="Traditional Arabic"/>
          <w:b/>
          <w:bCs/>
          <w:sz w:val="32"/>
          <w:szCs w:val="32"/>
          <w:lang w:bidi="ar-DZ"/>
        </w:rPr>
        <w:t xml:space="preserve">&amp; </w:t>
      </w:r>
      <w:r>
        <w:rPr>
          <w:rFonts w:ascii="Traditional Arabic" w:eastAsia="Times New Roman" w:hAnsi="Traditional Arabic" w:cs="Traditional Arabic"/>
          <w:b/>
          <w:bCs/>
          <w:sz w:val="32"/>
          <w:szCs w:val="32"/>
          <w:rtl/>
        </w:rPr>
        <w:t xml:space="preserve">حليلو عبد </w:t>
      </w:r>
      <w:proofErr w:type="gramStart"/>
      <w:r>
        <w:rPr>
          <w:rFonts w:ascii="Traditional Arabic" w:eastAsia="Times New Roman" w:hAnsi="Traditional Arabic" w:cs="Traditional Arabic"/>
          <w:b/>
          <w:bCs/>
          <w:sz w:val="32"/>
          <w:szCs w:val="32"/>
          <w:rtl/>
        </w:rPr>
        <w:t>القادر</w:t>
      </w:r>
      <w:r>
        <w:rPr>
          <w:rFonts w:ascii="Traditional Arabic" w:eastAsia="Times New Roman" w:hAnsi="Traditional Arabic" w:cs="Traditional Arabic"/>
          <w:b/>
          <w:bCs/>
          <w:sz w:val="32"/>
          <w:szCs w:val="32"/>
          <w:lang w:bidi="ar-DZ"/>
        </w:rPr>
        <w:t>.</w:t>
      </w:r>
      <w:r>
        <w:rPr>
          <w:rFonts w:ascii="Traditional Arabic" w:eastAsia="Times New Roman" w:hAnsi="Traditional Arabic" w:cs="Traditional Arabic" w:hint="cs"/>
          <w:b/>
          <w:bCs/>
          <w:sz w:val="32"/>
          <w:szCs w:val="32"/>
          <w:rtl/>
          <w:lang w:bidi="ar-DZ"/>
        </w:rPr>
        <w:t>(</w:t>
      </w:r>
      <w:proofErr w:type="gramEnd"/>
      <w:r>
        <w:rPr>
          <w:rFonts w:ascii="Traditional Arabic" w:eastAsia="Times New Roman" w:hAnsi="Traditional Arabic" w:cs="Traditional Arabic" w:hint="cs"/>
          <w:b/>
          <w:bCs/>
          <w:sz w:val="32"/>
          <w:szCs w:val="32"/>
          <w:rtl/>
          <w:lang w:bidi="ar-DZ"/>
        </w:rPr>
        <w:t>2022)</w:t>
      </w:r>
    </w:p>
    <w:p w14:paraId="3966B85A" w14:textId="77777777" w:rsidR="00DF0B27" w:rsidRPr="00282CEF" w:rsidRDefault="009044C7"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rPr>
        <w:t>المعنونة بــ"</w:t>
      </w:r>
      <w:r>
        <w:rPr>
          <w:rFonts w:ascii="Traditional Arabic" w:eastAsia="Times New Roman" w:hAnsi="Traditional Arabic" w:cs="Traditional Arabic"/>
          <w:b/>
          <w:bCs/>
          <w:sz w:val="32"/>
          <w:szCs w:val="32"/>
          <w:lang w:bidi="ar-DZ"/>
        </w:rPr>
        <w:t xml:space="preserve"> </w:t>
      </w:r>
      <w:r>
        <w:rPr>
          <w:rFonts w:ascii="Traditional Arabic" w:eastAsia="Times New Roman" w:hAnsi="Traditional Arabic" w:cs="Traditional Arabic"/>
          <w:b/>
          <w:bCs/>
          <w:sz w:val="32"/>
          <w:szCs w:val="32"/>
          <w:rtl/>
        </w:rPr>
        <w:t>التوريق المالي في النظام المصرفي الجزائري: الواقع والآفاق</w:t>
      </w:r>
      <w:r>
        <w:rPr>
          <w:rFonts w:ascii="Traditional Arabic" w:eastAsia="Times New Roman" w:hAnsi="Traditional Arabic" w:cs="Traditional Arabic"/>
          <w:b/>
          <w:bCs/>
          <w:sz w:val="32"/>
          <w:szCs w:val="32"/>
          <w:lang w:bidi="ar-DZ"/>
        </w:rPr>
        <w:t>.</w:t>
      </w:r>
      <w:r>
        <w:rPr>
          <w:rFonts w:ascii="Traditional Arabic" w:eastAsia="Times New Roman" w:hAnsi="Traditional Arabic" w:cs="Traditional Arabic" w:hint="cs"/>
          <w:b/>
          <w:bCs/>
          <w:sz w:val="32"/>
          <w:szCs w:val="32"/>
          <w:rtl/>
          <w:lang w:bidi="ar-DZ"/>
        </w:rPr>
        <w:t>"</w:t>
      </w:r>
    </w:p>
    <w:p w14:paraId="34BB2ACA"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b/>
          <w:bCs/>
          <w:sz w:val="32"/>
          <w:szCs w:val="32"/>
          <w:lang w:bidi="ar-DZ"/>
        </w:rPr>
        <w:t>:</w:t>
      </w:r>
    </w:p>
    <w:p w14:paraId="0B6555E9"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تشخيص واقع المنظومة البنكية والمالية في الجزائر ومدى جاهزيتها لتبني تقنية التوريق</w:t>
      </w:r>
      <w:r>
        <w:rPr>
          <w:rFonts w:ascii="Traditional Arabic" w:eastAsia="Times New Roman" w:hAnsi="Traditional Arabic" w:cs="Traditional Arabic"/>
          <w:sz w:val="32"/>
          <w:szCs w:val="32"/>
          <w:lang w:bidi="ar-DZ"/>
        </w:rPr>
        <w:t>.</w:t>
      </w:r>
    </w:p>
    <w:p w14:paraId="499D8CE8"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تحديد المعوقات التشريعية والتنظيمية التي تحول دون تفعيل سوق التوريق</w:t>
      </w:r>
      <w:r>
        <w:rPr>
          <w:rFonts w:ascii="Traditional Arabic" w:eastAsia="Times New Roman" w:hAnsi="Traditional Arabic" w:cs="Traditional Arabic"/>
          <w:sz w:val="32"/>
          <w:szCs w:val="32"/>
          <w:lang w:bidi="ar-DZ"/>
        </w:rPr>
        <w:t>.</w:t>
      </w:r>
    </w:p>
    <w:p w14:paraId="3C338223"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دراسة إمكانية توريق القروض العقارية في الجزائر كحل لأزمة السكن وتوفير السيولة للمرقين العقاريين</w:t>
      </w:r>
      <w:r>
        <w:rPr>
          <w:rFonts w:ascii="Traditional Arabic" w:eastAsia="Times New Roman" w:hAnsi="Traditional Arabic" w:cs="Traditional Arabic"/>
          <w:sz w:val="32"/>
          <w:szCs w:val="32"/>
          <w:lang w:bidi="ar-DZ"/>
        </w:rPr>
        <w:t>.</w:t>
      </w:r>
    </w:p>
    <w:p w14:paraId="1F145B19"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تقديم نموذج مقترح لعملية توريق تتوافق مع خصوصية السوق المالي المحلي</w:t>
      </w:r>
      <w:r>
        <w:rPr>
          <w:rFonts w:ascii="Traditional Arabic" w:eastAsia="Times New Roman" w:hAnsi="Traditional Arabic" w:cs="Traditional Arabic"/>
          <w:sz w:val="32"/>
          <w:szCs w:val="32"/>
          <w:lang w:bidi="ar-DZ"/>
        </w:rPr>
        <w:t>.</w:t>
      </w:r>
    </w:p>
    <w:p w14:paraId="6AF79483"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b/>
          <w:bCs/>
          <w:sz w:val="32"/>
          <w:szCs w:val="32"/>
          <w:lang w:bidi="ar-DZ"/>
        </w:rPr>
        <w:t>:</w:t>
      </w:r>
    </w:p>
    <w:p w14:paraId="37095BE7"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السوق المالي الجزائري يعاني من ضعف في الأدوات المالية المتاحة، مما يجعل التوريق ضرورة حتمية للتطوير</w:t>
      </w:r>
      <w:r>
        <w:rPr>
          <w:rFonts w:ascii="Traditional Arabic" w:eastAsia="Times New Roman" w:hAnsi="Traditional Arabic" w:cs="Traditional Arabic"/>
          <w:sz w:val="32"/>
          <w:szCs w:val="32"/>
          <w:lang w:bidi="ar-DZ"/>
        </w:rPr>
        <w:t>.</w:t>
      </w:r>
    </w:p>
    <w:p w14:paraId="7D177F8F"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هناك نقص في النصوص القانونية الصريحة التي تنظم إنشاء "شركات الأغراض الخاصة" الضرورية للتوريق</w:t>
      </w:r>
      <w:r>
        <w:rPr>
          <w:rFonts w:ascii="Traditional Arabic" w:eastAsia="Times New Roman" w:hAnsi="Traditional Arabic" w:cs="Traditional Arabic"/>
          <w:sz w:val="32"/>
          <w:szCs w:val="32"/>
          <w:lang w:bidi="ar-DZ"/>
        </w:rPr>
        <w:t>.</w:t>
      </w:r>
    </w:p>
    <w:p w14:paraId="09859E91"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يمكن للتوريق أن يساهم في تخفيف الضغط على الخزينة العمومية في تمويل السكن</w:t>
      </w:r>
      <w:r>
        <w:rPr>
          <w:rFonts w:ascii="Traditional Arabic" w:eastAsia="Times New Roman" w:hAnsi="Traditional Arabic" w:cs="Traditional Arabic"/>
          <w:sz w:val="32"/>
          <w:szCs w:val="32"/>
          <w:lang w:bidi="ar-DZ"/>
        </w:rPr>
        <w:t>.</w:t>
      </w:r>
    </w:p>
    <w:p w14:paraId="6620DFD7"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الوعي الاستثماري لدى الجمهور بالأوراق المالية المورقة لا يزال محدوداً، مما يتطلب حملات تعريفية وتوعوية</w:t>
      </w:r>
      <w:r>
        <w:rPr>
          <w:rFonts w:ascii="Traditional Arabic" w:eastAsia="Times New Roman" w:hAnsi="Traditional Arabic" w:cs="Traditional Arabic"/>
          <w:sz w:val="32"/>
          <w:szCs w:val="32"/>
          <w:lang w:bidi="ar-DZ"/>
        </w:rPr>
        <w:t>.</w:t>
      </w:r>
    </w:p>
    <w:p w14:paraId="163819AB"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b/>
          <w:bCs/>
          <w:sz w:val="32"/>
          <w:szCs w:val="32"/>
          <w:lang w:bidi="ar-DZ"/>
        </w:rPr>
        <w:t>:</w:t>
      </w:r>
    </w:p>
    <w:p w14:paraId="013D7171"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تعتبر خريطة طريق للمشرع الجزائري لتحديث القوانين المالية والمصرفية</w:t>
      </w:r>
      <w:r>
        <w:rPr>
          <w:rFonts w:ascii="Traditional Arabic" w:eastAsia="Times New Roman" w:hAnsi="Traditional Arabic" w:cs="Traditional Arabic"/>
          <w:sz w:val="32"/>
          <w:szCs w:val="32"/>
          <w:lang w:bidi="ar-DZ"/>
        </w:rPr>
        <w:t>.</w:t>
      </w:r>
    </w:p>
    <w:p w14:paraId="2D35B7FF"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تساعد في جذب الاستثمارات الأجنبية من خلال توفير أدوات مالية متنوعة</w:t>
      </w:r>
      <w:r>
        <w:rPr>
          <w:rFonts w:ascii="Traditional Arabic" w:eastAsia="Times New Roman" w:hAnsi="Traditional Arabic" w:cs="Traditional Arabic"/>
          <w:sz w:val="32"/>
          <w:szCs w:val="32"/>
          <w:lang w:bidi="ar-DZ"/>
        </w:rPr>
        <w:t>.</w:t>
      </w:r>
    </w:p>
    <w:p w14:paraId="00E0711B"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تطرح حلولاً اقتصادية عملية لتمويل القطاعات الاستراتيجية بعيداً عن الجباية البترولية</w:t>
      </w:r>
      <w:r>
        <w:rPr>
          <w:rFonts w:ascii="Traditional Arabic" w:eastAsia="Times New Roman" w:hAnsi="Traditional Arabic" w:cs="Traditional Arabic"/>
          <w:sz w:val="32"/>
          <w:szCs w:val="32"/>
          <w:lang w:bidi="ar-DZ"/>
        </w:rPr>
        <w:t>.</w:t>
      </w:r>
    </w:p>
    <w:p w14:paraId="3D5FD204" w14:textId="77777777" w:rsidR="00DF0B27" w:rsidRPr="009044C7" w:rsidRDefault="00DF0B27" w:rsidP="0099106E">
      <w:pPr>
        <w:pStyle w:val="Paragraphedeliste"/>
        <w:numPr>
          <w:ilvl w:val="0"/>
          <w:numId w:val="40"/>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تساهم في تعزيز التنافسية بين البنوك العمومية والخاصة في مجال الابتكار المالي</w:t>
      </w:r>
      <w:r>
        <w:rPr>
          <w:rFonts w:ascii="Traditional Arabic" w:eastAsia="Times New Roman" w:hAnsi="Traditional Arabic" w:cs="Traditional Arabic"/>
          <w:sz w:val="32"/>
          <w:szCs w:val="32"/>
          <w:lang w:bidi="ar-DZ"/>
        </w:rPr>
        <w:t>.</w:t>
      </w:r>
    </w:p>
    <w:p w14:paraId="2008C44D" w14:textId="77777777" w:rsidR="0054673C" w:rsidRDefault="0054673C" w:rsidP="0099106E">
      <w:pPr>
        <w:bidi/>
        <w:spacing w:after="0" w:line="240" w:lineRule="auto"/>
        <w:rPr>
          <w:rFonts w:ascii="Traditional Arabic" w:eastAsia="Times New Roman" w:hAnsi="Traditional Arabic" w:cs="Traditional Arabic"/>
          <w:b/>
          <w:bCs/>
          <w:sz w:val="36"/>
          <w:szCs w:val="36"/>
          <w:rtl/>
          <w:lang w:bidi="ar-DZ"/>
        </w:rPr>
      </w:pPr>
    </w:p>
    <w:p w14:paraId="0B5F8755" w14:textId="77777777" w:rsidR="0054673C" w:rsidRDefault="0054673C" w:rsidP="0099106E">
      <w:pPr>
        <w:bidi/>
        <w:spacing w:after="0" w:line="240" w:lineRule="auto"/>
        <w:rPr>
          <w:rFonts w:ascii="Traditional Arabic" w:eastAsia="Times New Roman" w:hAnsi="Traditional Arabic" w:cs="Traditional Arabic"/>
          <w:b/>
          <w:bCs/>
          <w:sz w:val="36"/>
          <w:szCs w:val="36"/>
          <w:rtl/>
          <w:lang w:bidi="ar-DZ"/>
        </w:rPr>
      </w:pPr>
    </w:p>
    <w:p w14:paraId="6AD774AF" w14:textId="77777777" w:rsidR="0054673C" w:rsidRDefault="0054673C" w:rsidP="0099106E">
      <w:pPr>
        <w:bidi/>
        <w:spacing w:after="0" w:line="240" w:lineRule="auto"/>
        <w:rPr>
          <w:rFonts w:ascii="Traditional Arabic" w:eastAsia="Times New Roman" w:hAnsi="Traditional Arabic" w:cs="Traditional Arabic"/>
          <w:b/>
          <w:bCs/>
          <w:sz w:val="36"/>
          <w:szCs w:val="36"/>
          <w:rtl/>
          <w:lang w:bidi="ar-DZ"/>
        </w:rPr>
      </w:pPr>
    </w:p>
    <w:p w14:paraId="66A44F3D" w14:textId="77777777" w:rsidR="0054673C" w:rsidRDefault="0054673C" w:rsidP="0099106E">
      <w:pPr>
        <w:bidi/>
        <w:spacing w:after="0" w:line="240" w:lineRule="auto"/>
        <w:rPr>
          <w:rFonts w:ascii="Traditional Arabic" w:eastAsia="Times New Roman" w:hAnsi="Traditional Arabic" w:cs="Traditional Arabic"/>
          <w:b/>
          <w:bCs/>
          <w:sz w:val="36"/>
          <w:szCs w:val="36"/>
          <w:rtl/>
          <w:lang w:bidi="ar-DZ"/>
        </w:rPr>
      </w:pPr>
    </w:p>
    <w:p w14:paraId="4880C621" w14:textId="77777777" w:rsidR="0099106E" w:rsidRDefault="0099106E" w:rsidP="0099106E">
      <w:pPr>
        <w:bidi/>
        <w:spacing w:after="0" w:line="240" w:lineRule="auto"/>
        <w:rPr>
          <w:rFonts w:ascii="Traditional Arabic" w:eastAsia="Times New Roman" w:hAnsi="Traditional Arabic" w:cs="Traditional Arabic"/>
          <w:b/>
          <w:bCs/>
          <w:sz w:val="36"/>
          <w:szCs w:val="36"/>
          <w:rtl/>
          <w:lang w:bidi="ar-DZ"/>
        </w:rPr>
      </w:pPr>
    </w:p>
    <w:p w14:paraId="0F3DBA35" w14:textId="77777777" w:rsidR="0099106E" w:rsidRDefault="0099106E" w:rsidP="0099106E">
      <w:pPr>
        <w:bidi/>
        <w:spacing w:after="0" w:line="240" w:lineRule="auto"/>
        <w:rPr>
          <w:rFonts w:ascii="Traditional Arabic" w:eastAsia="Times New Roman" w:hAnsi="Traditional Arabic" w:cs="Traditional Arabic"/>
          <w:b/>
          <w:bCs/>
          <w:sz w:val="36"/>
          <w:szCs w:val="36"/>
          <w:rtl/>
          <w:lang w:bidi="ar-DZ"/>
        </w:rPr>
      </w:pPr>
    </w:p>
    <w:p w14:paraId="4E1D2B0A" w14:textId="77777777" w:rsidR="0099106E" w:rsidRDefault="0099106E" w:rsidP="0099106E">
      <w:pPr>
        <w:bidi/>
        <w:spacing w:after="0" w:line="240" w:lineRule="auto"/>
        <w:rPr>
          <w:rFonts w:ascii="Traditional Arabic" w:eastAsia="Times New Roman" w:hAnsi="Traditional Arabic" w:cs="Traditional Arabic"/>
          <w:b/>
          <w:bCs/>
          <w:sz w:val="36"/>
          <w:szCs w:val="36"/>
          <w:rtl/>
          <w:lang w:bidi="ar-DZ"/>
        </w:rPr>
      </w:pPr>
    </w:p>
    <w:p w14:paraId="500909C8" w14:textId="77777777" w:rsidR="0099106E" w:rsidRDefault="0099106E" w:rsidP="0099106E">
      <w:pPr>
        <w:bidi/>
        <w:spacing w:after="0" w:line="240" w:lineRule="auto"/>
        <w:rPr>
          <w:rFonts w:ascii="Traditional Arabic" w:eastAsia="Times New Roman" w:hAnsi="Traditional Arabic" w:cs="Traditional Arabic"/>
          <w:b/>
          <w:bCs/>
          <w:sz w:val="36"/>
          <w:szCs w:val="36"/>
          <w:rtl/>
          <w:lang w:bidi="ar-DZ"/>
        </w:rPr>
      </w:pPr>
    </w:p>
    <w:p w14:paraId="05C90DC2" w14:textId="77777777" w:rsidR="0099106E" w:rsidRDefault="0099106E" w:rsidP="0099106E">
      <w:pPr>
        <w:bidi/>
        <w:spacing w:after="0" w:line="240" w:lineRule="auto"/>
        <w:rPr>
          <w:rFonts w:ascii="Traditional Arabic" w:eastAsia="Times New Roman" w:hAnsi="Traditional Arabic" w:cs="Traditional Arabic"/>
          <w:b/>
          <w:bCs/>
          <w:sz w:val="36"/>
          <w:szCs w:val="36"/>
          <w:rtl/>
          <w:lang w:bidi="ar-DZ"/>
        </w:rPr>
      </w:pPr>
    </w:p>
    <w:p w14:paraId="0D2185A0" w14:textId="77777777" w:rsidR="009044C7" w:rsidRPr="009044C7" w:rsidRDefault="009044C7" w:rsidP="0099106E">
      <w:pPr>
        <w:bidi/>
        <w:spacing w:after="0" w:line="240" w:lineRule="auto"/>
        <w:rPr>
          <w:rFonts w:ascii="Traditional Arabic" w:eastAsia="Times New Roman" w:hAnsi="Traditional Arabic" w:cs="Traditional Arabic"/>
          <w:b/>
          <w:bCs/>
          <w:sz w:val="36"/>
          <w:szCs w:val="36"/>
          <w:lang w:bidi="ar-DZ"/>
        </w:rPr>
      </w:pPr>
      <w:r>
        <w:rPr>
          <w:rFonts w:ascii="Traditional Arabic" w:eastAsia="Times New Roman" w:hAnsi="Traditional Arabic" w:cs="Traditional Arabic" w:hint="cs"/>
          <w:b/>
          <w:bCs/>
          <w:sz w:val="36"/>
          <w:szCs w:val="36"/>
          <w:rtl/>
          <w:lang w:bidi="ar-DZ"/>
        </w:rPr>
        <w:lastRenderedPageBreak/>
        <w:t xml:space="preserve">المطلب </w:t>
      </w:r>
      <w:proofErr w:type="gramStart"/>
      <w:r>
        <w:rPr>
          <w:rFonts w:ascii="Traditional Arabic" w:eastAsia="Times New Roman" w:hAnsi="Traditional Arabic" w:cs="Traditional Arabic" w:hint="cs"/>
          <w:b/>
          <w:bCs/>
          <w:sz w:val="36"/>
          <w:szCs w:val="36"/>
          <w:rtl/>
          <w:lang w:bidi="ar-DZ"/>
        </w:rPr>
        <w:t>الثاني :</w:t>
      </w:r>
      <w:proofErr w:type="gramEnd"/>
      <w:r>
        <w:rPr>
          <w:rFonts w:ascii="Traditional Arabic" w:eastAsia="Times New Roman" w:hAnsi="Traditional Arabic" w:cs="Traditional Arabic" w:hint="cs"/>
          <w:b/>
          <w:bCs/>
          <w:sz w:val="36"/>
          <w:szCs w:val="36"/>
          <w:rtl/>
          <w:lang w:bidi="ar-DZ"/>
        </w:rPr>
        <w:t xml:space="preserve"> الدراسات الاجنبية </w:t>
      </w:r>
    </w:p>
    <w:p w14:paraId="5A0FFCCD" w14:textId="77777777" w:rsidR="00F60CEC" w:rsidRPr="00F60CEC" w:rsidRDefault="00F60CEC" w:rsidP="0099106E">
      <w:pPr>
        <w:pStyle w:val="Paragraphedeliste"/>
        <w:numPr>
          <w:ilvl w:val="0"/>
          <w:numId w:val="46"/>
        </w:numPr>
        <w:bidi/>
        <w:spacing w:after="0" w:line="240" w:lineRule="auto"/>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 xml:space="preserve">دراسة </w:t>
      </w:r>
      <w:proofErr w:type="spellStart"/>
      <w:r>
        <w:rPr>
          <w:rFonts w:ascii="Traditional Arabic" w:eastAsia="Times New Roman" w:hAnsi="Traditional Arabic" w:cs="Traditional Arabic"/>
          <w:b/>
          <w:bCs/>
          <w:sz w:val="32"/>
          <w:szCs w:val="32"/>
          <w:lang w:bidi="ar-DZ"/>
        </w:rPr>
        <w:t>Yener</w:t>
      </w:r>
      <w:proofErr w:type="spellEnd"/>
      <w:r>
        <w:rPr>
          <w:rFonts w:ascii="Traditional Arabic" w:eastAsia="Times New Roman" w:hAnsi="Traditional Arabic" w:cs="Traditional Arabic"/>
          <w:b/>
          <w:bCs/>
          <w:sz w:val="32"/>
          <w:szCs w:val="32"/>
          <w:lang w:bidi="ar-DZ"/>
        </w:rPr>
        <w:t xml:space="preserve"> </w:t>
      </w:r>
      <w:proofErr w:type="spellStart"/>
      <w:r>
        <w:rPr>
          <w:rFonts w:ascii="Traditional Arabic" w:eastAsia="Times New Roman" w:hAnsi="Traditional Arabic" w:cs="Traditional Arabic"/>
          <w:b/>
          <w:bCs/>
          <w:sz w:val="32"/>
          <w:szCs w:val="32"/>
          <w:lang w:bidi="ar-DZ"/>
        </w:rPr>
        <w:t>Altunbas</w:t>
      </w:r>
      <w:proofErr w:type="spellEnd"/>
      <w:r>
        <w:rPr>
          <w:rFonts w:ascii="Traditional Arabic" w:eastAsia="Times New Roman" w:hAnsi="Traditional Arabic" w:cs="Traditional Arabic" w:hint="cs"/>
          <w:b/>
          <w:bCs/>
          <w:sz w:val="32"/>
          <w:szCs w:val="32"/>
          <w:rtl/>
          <w:lang w:bidi="ar-DZ"/>
        </w:rPr>
        <w:t xml:space="preserve"> (2009)</w:t>
      </w:r>
    </w:p>
    <w:p w14:paraId="32622EB9" w14:textId="77777777" w:rsidR="00F60CEC" w:rsidRPr="00F60CEC" w:rsidRDefault="00F60CEC"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المعنونة بـــ"</w:t>
      </w:r>
      <w:r>
        <w:rPr>
          <w:rFonts w:ascii="Traditional Arabic" w:eastAsia="Times New Roman" w:hAnsi="Traditional Arabic" w:cs="Traditional Arabic"/>
          <w:b/>
          <w:bCs/>
          <w:sz w:val="32"/>
          <w:szCs w:val="32"/>
          <w:rtl/>
        </w:rPr>
        <w:t xml:space="preserve"> التوريق وأداء البنوك: أدلة من منطقة اليورو</w:t>
      </w:r>
      <w:r>
        <w:rPr>
          <w:rFonts w:ascii="Traditional Arabic" w:eastAsia="Times New Roman" w:hAnsi="Traditional Arabic" w:cs="Traditional Arabic" w:hint="cs"/>
          <w:b/>
          <w:bCs/>
          <w:sz w:val="32"/>
          <w:szCs w:val="32"/>
          <w:rtl/>
        </w:rPr>
        <w:t>."</w:t>
      </w:r>
    </w:p>
    <w:p w14:paraId="7BA73869" w14:textId="77777777" w:rsidR="00F60CEC" w:rsidRPr="00DF0B27" w:rsidRDefault="00F60CEC"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b/>
          <w:bCs/>
          <w:sz w:val="32"/>
          <w:szCs w:val="32"/>
          <w:lang w:bidi="ar-DZ"/>
        </w:rPr>
        <w:t>:</w:t>
      </w:r>
    </w:p>
    <w:p w14:paraId="592BFFBE" w14:textId="77777777" w:rsidR="00F60CEC" w:rsidRPr="00DF0B27" w:rsidRDefault="00F60CEC" w:rsidP="0099106E">
      <w:pPr>
        <w:numPr>
          <w:ilvl w:val="1"/>
          <w:numId w:val="3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قياس أثر التوريق على القدرة الإقراضية للبنوك الأوروبية</w:t>
      </w:r>
      <w:r>
        <w:rPr>
          <w:rFonts w:ascii="Traditional Arabic" w:eastAsia="Times New Roman" w:hAnsi="Traditional Arabic" w:cs="Traditional Arabic"/>
          <w:sz w:val="32"/>
          <w:szCs w:val="32"/>
          <w:lang w:bidi="ar-DZ"/>
        </w:rPr>
        <w:t>.</w:t>
      </w:r>
    </w:p>
    <w:p w14:paraId="07FEEF92" w14:textId="77777777" w:rsidR="00F60CEC" w:rsidRPr="00DF0B27" w:rsidRDefault="00F60CEC" w:rsidP="0099106E">
      <w:pPr>
        <w:numPr>
          <w:ilvl w:val="1"/>
          <w:numId w:val="3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دراسة العلاقة بين حجم عمليات التوريق ومستوى مخاطر البنك</w:t>
      </w:r>
      <w:r>
        <w:rPr>
          <w:rFonts w:ascii="Traditional Arabic" w:eastAsia="Times New Roman" w:hAnsi="Traditional Arabic" w:cs="Traditional Arabic"/>
          <w:sz w:val="32"/>
          <w:szCs w:val="32"/>
          <w:lang w:bidi="ar-DZ"/>
        </w:rPr>
        <w:t>.</w:t>
      </w:r>
    </w:p>
    <w:p w14:paraId="5A397BD2" w14:textId="77777777" w:rsidR="00F60CEC" w:rsidRPr="00DF0B27" w:rsidRDefault="00F60CEC" w:rsidP="0099106E">
      <w:pPr>
        <w:numPr>
          <w:ilvl w:val="1"/>
          <w:numId w:val="3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مدى تأثير التوريق على استجابة البنوك لتغيرات أسعار الفائدة</w:t>
      </w:r>
      <w:r>
        <w:rPr>
          <w:rFonts w:ascii="Traditional Arabic" w:eastAsia="Times New Roman" w:hAnsi="Traditional Arabic" w:cs="Traditional Arabic"/>
          <w:sz w:val="32"/>
          <w:szCs w:val="32"/>
          <w:lang w:bidi="ar-DZ"/>
        </w:rPr>
        <w:t>.</w:t>
      </w:r>
    </w:p>
    <w:p w14:paraId="6A500193" w14:textId="77777777" w:rsidR="00F60CEC" w:rsidRPr="00DF0B27" w:rsidRDefault="00F60CEC" w:rsidP="0099106E">
      <w:pPr>
        <w:numPr>
          <w:ilvl w:val="1"/>
          <w:numId w:val="31"/>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فهم الفرق في أداء البنوك "المورقة" خلال فترات الرخاء مقابل فترات الركود</w:t>
      </w:r>
      <w:r>
        <w:rPr>
          <w:rFonts w:ascii="Traditional Arabic" w:eastAsia="Times New Roman" w:hAnsi="Traditional Arabic" w:cs="Traditional Arabic"/>
          <w:sz w:val="32"/>
          <w:szCs w:val="32"/>
          <w:lang w:bidi="ar-DZ"/>
        </w:rPr>
        <w:t>.</w:t>
      </w:r>
    </w:p>
    <w:p w14:paraId="1A595FE3" w14:textId="77777777" w:rsidR="00F60CEC" w:rsidRPr="00DF0B27" w:rsidRDefault="00F60CEC"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b/>
          <w:bCs/>
          <w:sz w:val="32"/>
          <w:szCs w:val="32"/>
          <w:lang w:bidi="ar-DZ"/>
        </w:rPr>
        <w:t>:</w:t>
      </w:r>
    </w:p>
    <w:p w14:paraId="71C04820" w14:textId="77777777" w:rsidR="00F60CEC" w:rsidRPr="00DF0B27" w:rsidRDefault="00F60CEC" w:rsidP="0099106E">
      <w:pPr>
        <w:numPr>
          <w:ilvl w:val="1"/>
          <w:numId w:val="32"/>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يعزز قدرة البنوك على منح القروض بشكل كبير، خاصة في الأسواق التنافسية</w:t>
      </w:r>
      <w:r>
        <w:rPr>
          <w:rFonts w:ascii="Traditional Arabic" w:eastAsia="Times New Roman" w:hAnsi="Traditional Arabic" w:cs="Traditional Arabic"/>
          <w:sz w:val="32"/>
          <w:szCs w:val="32"/>
          <w:lang w:bidi="ar-DZ"/>
        </w:rPr>
        <w:t>.</w:t>
      </w:r>
    </w:p>
    <w:p w14:paraId="789BEA75" w14:textId="77777777" w:rsidR="00F60CEC" w:rsidRPr="00DF0B27" w:rsidRDefault="00F60CEC" w:rsidP="0099106E">
      <w:pPr>
        <w:numPr>
          <w:ilvl w:val="1"/>
          <w:numId w:val="32"/>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البنوك التي تستخدم التوريق تميل إلى امتلاك رأس مال أقل، مما يزيد من حساسيتها للصدمات</w:t>
      </w:r>
      <w:r>
        <w:rPr>
          <w:rFonts w:ascii="Traditional Arabic" w:eastAsia="Times New Roman" w:hAnsi="Traditional Arabic" w:cs="Traditional Arabic"/>
          <w:sz w:val="32"/>
          <w:szCs w:val="32"/>
          <w:lang w:bidi="ar-DZ"/>
        </w:rPr>
        <w:t>.</w:t>
      </w:r>
    </w:p>
    <w:p w14:paraId="107E8E02" w14:textId="77777777" w:rsidR="00F60CEC" w:rsidRPr="00DF0B27" w:rsidRDefault="00F60CEC" w:rsidP="0099106E">
      <w:pPr>
        <w:numPr>
          <w:ilvl w:val="1"/>
          <w:numId w:val="32"/>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يضعف قناة السياسة النقدية، حيث تصبح البنوك أقل تأثراً بقرارات البنك المركزي</w:t>
      </w:r>
      <w:r>
        <w:rPr>
          <w:rFonts w:ascii="Traditional Arabic" w:eastAsia="Times New Roman" w:hAnsi="Traditional Arabic" w:cs="Traditional Arabic"/>
          <w:sz w:val="32"/>
          <w:szCs w:val="32"/>
          <w:lang w:bidi="ar-DZ"/>
        </w:rPr>
        <w:t>.</w:t>
      </w:r>
    </w:p>
    <w:p w14:paraId="621A8DCF" w14:textId="77777777" w:rsidR="00F60CEC" w:rsidRPr="00DF0B27" w:rsidRDefault="00F60CEC" w:rsidP="0099106E">
      <w:pPr>
        <w:numPr>
          <w:ilvl w:val="1"/>
          <w:numId w:val="32"/>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أظهرت النتائج أن التوريق أدى إلى زيادة "النمو المفرط" في الائتمان قبل الأزمات</w:t>
      </w:r>
      <w:r>
        <w:rPr>
          <w:rFonts w:ascii="Traditional Arabic" w:eastAsia="Times New Roman" w:hAnsi="Traditional Arabic" w:cs="Traditional Arabic"/>
          <w:sz w:val="32"/>
          <w:szCs w:val="32"/>
          <w:lang w:bidi="ar-DZ"/>
        </w:rPr>
        <w:t>.</w:t>
      </w:r>
    </w:p>
    <w:p w14:paraId="2FBF290C" w14:textId="77777777" w:rsidR="00F60CEC" w:rsidRPr="00DF0B27" w:rsidRDefault="00F60CEC"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b/>
          <w:bCs/>
          <w:sz w:val="32"/>
          <w:szCs w:val="32"/>
          <w:lang w:bidi="ar-DZ"/>
        </w:rPr>
        <w:t>:</w:t>
      </w:r>
    </w:p>
    <w:p w14:paraId="53968BF2" w14:textId="77777777" w:rsidR="00F60CEC" w:rsidRPr="00DF0B27" w:rsidRDefault="00F60CEC" w:rsidP="0099106E">
      <w:pPr>
        <w:numPr>
          <w:ilvl w:val="1"/>
          <w:numId w:val="33"/>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توفر رؤية شاملة لصناع القرار في منطقة اليورو حول مخاطر السيولة</w:t>
      </w:r>
      <w:r>
        <w:rPr>
          <w:rFonts w:ascii="Traditional Arabic" w:eastAsia="Times New Roman" w:hAnsi="Traditional Arabic" w:cs="Traditional Arabic"/>
          <w:sz w:val="32"/>
          <w:szCs w:val="32"/>
          <w:lang w:bidi="ar-DZ"/>
        </w:rPr>
        <w:t>.</w:t>
      </w:r>
    </w:p>
    <w:p w14:paraId="5183B3E8" w14:textId="77777777" w:rsidR="00F60CEC" w:rsidRPr="00DF0B27" w:rsidRDefault="00F60CEC" w:rsidP="0099106E">
      <w:pPr>
        <w:numPr>
          <w:ilvl w:val="1"/>
          <w:numId w:val="33"/>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تساعد في فهم سلوك البنوك الكبرى العابرة للحدود</w:t>
      </w:r>
      <w:r>
        <w:rPr>
          <w:rFonts w:ascii="Traditional Arabic" w:eastAsia="Times New Roman" w:hAnsi="Traditional Arabic" w:cs="Traditional Arabic"/>
          <w:sz w:val="32"/>
          <w:szCs w:val="32"/>
          <w:lang w:bidi="ar-DZ"/>
        </w:rPr>
        <w:t>.</w:t>
      </w:r>
    </w:p>
    <w:p w14:paraId="4499A1D3" w14:textId="77777777" w:rsidR="00F60CEC" w:rsidRPr="00DF0B27" w:rsidRDefault="00F60CEC" w:rsidP="0099106E">
      <w:pPr>
        <w:numPr>
          <w:ilvl w:val="1"/>
          <w:numId w:val="33"/>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تبرز أهمية التنسيق بين السياسة النقدية والرقابة الاحترازية</w:t>
      </w:r>
      <w:r>
        <w:rPr>
          <w:rFonts w:ascii="Traditional Arabic" w:eastAsia="Times New Roman" w:hAnsi="Traditional Arabic" w:cs="Traditional Arabic"/>
          <w:sz w:val="32"/>
          <w:szCs w:val="32"/>
          <w:lang w:bidi="ar-DZ"/>
        </w:rPr>
        <w:t>.</w:t>
      </w:r>
    </w:p>
    <w:p w14:paraId="54E1ED9F" w14:textId="77777777" w:rsidR="00F60CEC" w:rsidRDefault="00F60CEC" w:rsidP="0099106E">
      <w:pPr>
        <w:numPr>
          <w:ilvl w:val="1"/>
          <w:numId w:val="33"/>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تدعم التوجه نحو تقييد استخدام التوريق في تمويل الأصول عالية المخاطر</w:t>
      </w:r>
      <w:r>
        <w:rPr>
          <w:rFonts w:ascii="Traditional Arabic" w:eastAsia="Times New Roman" w:hAnsi="Traditional Arabic" w:cs="Traditional Arabic"/>
          <w:sz w:val="32"/>
          <w:szCs w:val="32"/>
          <w:lang w:bidi="ar-DZ"/>
        </w:rPr>
        <w:t>.</w:t>
      </w:r>
    </w:p>
    <w:p w14:paraId="7A65E205" w14:textId="77777777" w:rsidR="009044C7" w:rsidRPr="009044C7" w:rsidRDefault="009044C7" w:rsidP="0099106E">
      <w:pPr>
        <w:pStyle w:val="Paragraphedeliste"/>
        <w:numPr>
          <w:ilvl w:val="0"/>
          <w:numId w:val="46"/>
        </w:numPr>
        <w:bidi/>
        <w:spacing w:after="0" w:line="240" w:lineRule="auto"/>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 xml:space="preserve">دراسة </w:t>
      </w:r>
      <w:r>
        <w:rPr>
          <w:rFonts w:ascii="Traditional Arabic" w:eastAsia="Times New Roman" w:hAnsi="Traditional Arabic" w:cs="Traditional Arabic"/>
          <w:b/>
          <w:bCs/>
          <w:sz w:val="32"/>
          <w:szCs w:val="32"/>
          <w:lang w:bidi="ar-DZ"/>
        </w:rPr>
        <w:t xml:space="preserve">Viral V. Acharya &amp; Philipp </w:t>
      </w:r>
      <w:proofErr w:type="spellStart"/>
      <w:r>
        <w:rPr>
          <w:rFonts w:ascii="Traditional Arabic" w:eastAsia="Times New Roman" w:hAnsi="Traditional Arabic" w:cs="Traditional Arabic"/>
          <w:b/>
          <w:bCs/>
          <w:sz w:val="32"/>
          <w:szCs w:val="32"/>
          <w:lang w:bidi="ar-DZ"/>
        </w:rPr>
        <w:t>Schnabl</w:t>
      </w:r>
      <w:proofErr w:type="spellEnd"/>
      <w:r>
        <w:rPr>
          <w:rFonts w:ascii="Traditional Arabic" w:eastAsia="Times New Roman" w:hAnsi="Traditional Arabic" w:cs="Traditional Arabic"/>
          <w:b/>
          <w:bCs/>
          <w:sz w:val="32"/>
          <w:szCs w:val="32"/>
          <w:lang w:bidi="ar-DZ"/>
        </w:rPr>
        <w:t>.</w:t>
      </w:r>
      <w:r>
        <w:rPr>
          <w:rFonts w:ascii="Traditional Arabic" w:eastAsia="Times New Roman" w:hAnsi="Traditional Arabic" w:cs="Traditional Arabic" w:hint="cs"/>
          <w:b/>
          <w:bCs/>
          <w:sz w:val="32"/>
          <w:szCs w:val="32"/>
          <w:rtl/>
          <w:lang w:bidi="ar-DZ"/>
        </w:rPr>
        <w:t xml:space="preserve"> (2010)</w:t>
      </w:r>
    </w:p>
    <w:p w14:paraId="319CE449" w14:textId="77777777" w:rsidR="009044C7" w:rsidRPr="009044C7" w:rsidRDefault="009044C7"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المعنونة بـــ" </w:t>
      </w:r>
      <w:r>
        <w:rPr>
          <w:rFonts w:ascii="Traditional Arabic" w:eastAsia="Times New Roman" w:hAnsi="Traditional Arabic" w:cs="Traditional Arabic"/>
          <w:b/>
          <w:bCs/>
          <w:sz w:val="32"/>
          <w:szCs w:val="32"/>
          <w:rtl/>
        </w:rPr>
        <w:t>التوريق والمخاطر النظامية</w:t>
      </w:r>
      <w:r>
        <w:rPr>
          <w:rFonts w:ascii="Traditional Arabic" w:eastAsia="Times New Roman" w:hAnsi="Traditional Arabic" w:cs="Traditional Arabic" w:hint="cs"/>
          <w:b/>
          <w:bCs/>
          <w:sz w:val="32"/>
          <w:szCs w:val="32"/>
          <w:rtl/>
        </w:rPr>
        <w:t xml:space="preserve">" </w:t>
      </w:r>
    </w:p>
    <w:p w14:paraId="6AEE91C5"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b/>
          <w:bCs/>
          <w:sz w:val="32"/>
          <w:szCs w:val="32"/>
          <w:lang w:bidi="ar-DZ"/>
        </w:rPr>
        <w:t>:</w:t>
      </w:r>
    </w:p>
    <w:p w14:paraId="5D5B16D2" w14:textId="77777777" w:rsidR="00DF0B27" w:rsidRPr="009044C7" w:rsidRDefault="00DF0B27" w:rsidP="0099106E">
      <w:pPr>
        <w:numPr>
          <w:ilvl w:val="1"/>
          <w:numId w:val="4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كيفية انتقال المخاطر من الميزانيات العمومية للبنوك إلى "قنوات التوريق" خارج الميزانية</w:t>
      </w:r>
      <w:r>
        <w:rPr>
          <w:rFonts w:ascii="Traditional Arabic" w:eastAsia="Times New Roman" w:hAnsi="Traditional Arabic" w:cs="Traditional Arabic"/>
          <w:sz w:val="32"/>
          <w:szCs w:val="32"/>
          <w:lang w:bidi="ar-DZ"/>
        </w:rPr>
        <w:t>.</w:t>
      </w:r>
    </w:p>
    <w:p w14:paraId="0A8751A1" w14:textId="77777777" w:rsidR="00DF0B27" w:rsidRPr="009044C7" w:rsidRDefault="00DF0B27" w:rsidP="0099106E">
      <w:pPr>
        <w:numPr>
          <w:ilvl w:val="1"/>
          <w:numId w:val="4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دراسة دور ضمانات السيولة التي قدمتها البنوك لهذه القنوات</w:t>
      </w:r>
      <w:r>
        <w:rPr>
          <w:rFonts w:ascii="Traditional Arabic" w:eastAsia="Times New Roman" w:hAnsi="Traditional Arabic" w:cs="Traditional Arabic"/>
          <w:sz w:val="32"/>
          <w:szCs w:val="32"/>
          <w:lang w:bidi="ar-DZ"/>
        </w:rPr>
        <w:t>.</w:t>
      </w:r>
    </w:p>
    <w:p w14:paraId="04535114" w14:textId="77777777" w:rsidR="00DF0B27" w:rsidRPr="009044C7" w:rsidRDefault="00DF0B27" w:rsidP="0099106E">
      <w:pPr>
        <w:numPr>
          <w:ilvl w:val="1"/>
          <w:numId w:val="4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فهم الأسباب التي جعلت التوريق يفشل في تشتيت المخاطر كما كان متوقعاً</w:t>
      </w:r>
      <w:r>
        <w:rPr>
          <w:rFonts w:ascii="Traditional Arabic" w:eastAsia="Times New Roman" w:hAnsi="Traditional Arabic" w:cs="Traditional Arabic"/>
          <w:sz w:val="32"/>
          <w:szCs w:val="32"/>
          <w:lang w:bidi="ar-DZ"/>
        </w:rPr>
        <w:t>.</w:t>
      </w:r>
    </w:p>
    <w:p w14:paraId="0B5A199A" w14:textId="77777777" w:rsidR="00DF0B27" w:rsidRPr="009044C7" w:rsidRDefault="00DF0B27" w:rsidP="0099106E">
      <w:pPr>
        <w:numPr>
          <w:ilvl w:val="1"/>
          <w:numId w:val="4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 xml:space="preserve">تقييم أثر </w:t>
      </w:r>
      <w:proofErr w:type="spellStart"/>
      <w:r>
        <w:rPr>
          <w:rFonts w:ascii="Traditional Arabic" w:eastAsia="Times New Roman" w:hAnsi="Traditional Arabic" w:cs="Traditional Arabic"/>
          <w:sz w:val="32"/>
          <w:szCs w:val="32"/>
          <w:rtl/>
        </w:rPr>
        <w:t>المراجحة</w:t>
      </w:r>
      <w:proofErr w:type="spellEnd"/>
      <w:r>
        <w:rPr>
          <w:rFonts w:ascii="Traditional Arabic" w:eastAsia="Times New Roman" w:hAnsi="Traditional Arabic" w:cs="Traditional Arabic"/>
          <w:sz w:val="32"/>
          <w:szCs w:val="32"/>
          <w:rtl/>
        </w:rPr>
        <w:t xml:space="preserve"> التنظيمية</w:t>
      </w:r>
      <w:r>
        <w:rPr>
          <w:rFonts w:ascii="Traditional Arabic" w:eastAsia="Times New Roman" w:hAnsi="Traditional Arabic" w:cs="Traditional Arabic"/>
          <w:sz w:val="32"/>
          <w:szCs w:val="32"/>
          <w:lang w:bidi="ar-DZ"/>
        </w:rPr>
        <w:t xml:space="preserve"> (Regulatory Arbitrage) </w:t>
      </w:r>
      <w:r>
        <w:rPr>
          <w:rFonts w:ascii="Traditional Arabic" w:eastAsia="Times New Roman" w:hAnsi="Traditional Arabic" w:cs="Traditional Arabic"/>
          <w:sz w:val="32"/>
          <w:szCs w:val="32"/>
          <w:rtl/>
        </w:rPr>
        <w:t>على استقرار النظام المالي</w:t>
      </w:r>
      <w:r>
        <w:rPr>
          <w:rFonts w:ascii="Traditional Arabic" w:eastAsia="Times New Roman" w:hAnsi="Traditional Arabic" w:cs="Traditional Arabic"/>
          <w:sz w:val="32"/>
          <w:szCs w:val="32"/>
          <w:lang w:bidi="ar-DZ"/>
        </w:rPr>
        <w:t>.</w:t>
      </w:r>
    </w:p>
    <w:p w14:paraId="1A94D84D"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b/>
          <w:bCs/>
          <w:sz w:val="32"/>
          <w:szCs w:val="32"/>
          <w:lang w:bidi="ar-DZ"/>
        </w:rPr>
        <w:t>:</w:t>
      </w:r>
    </w:p>
    <w:p w14:paraId="5B3AD405" w14:textId="77777777" w:rsidR="00DF0B27" w:rsidRPr="00DF0B27" w:rsidRDefault="00DF0B27" w:rsidP="0099106E">
      <w:pPr>
        <w:numPr>
          <w:ilvl w:val="1"/>
          <w:numId w:val="4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البنوك لم تقم بنقل المخاطر فعلياً بل احتفظت بها عبر "ضمانات سيولة" غير معلنة</w:t>
      </w:r>
      <w:r>
        <w:rPr>
          <w:rFonts w:ascii="Traditional Arabic" w:eastAsia="Times New Roman" w:hAnsi="Traditional Arabic" w:cs="Traditional Arabic"/>
          <w:sz w:val="32"/>
          <w:szCs w:val="32"/>
          <w:lang w:bidi="ar-DZ"/>
        </w:rPr>
        <w:t>.</w:t>
      </w:r>
    </w:p>
    <w:p w14:paraId="7AE499AE" w14:textId="77777777" w:rsidR="00DF0B27" w:rsidRPr="00DF0B27" w:rsidRDefault="00DF0B27" w:rsidP="0099106E">
      <w:pPr>
        <w:numPr>
          <w:ilvl w:val="1"/>
          <w:numId w:val="4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استُخدم كأداة للالتفاف على متطلبات رأس المال التنظيمي (بازل 2</w:t>
      </w:r>
      <w:r>
        <w:rPr>
          <w:rFonts w:ascii="Traditional Arabic" w:eastAsia="Times New Roman" w:hAnsi="Traditional Arabic" w:cs="Traditional Arabic" w:hint="cs"/>
          <w:sz w:val="32"/>
          <w:szCs w:val="32"/>
          <w:rtl/>
          <w:lang w:bidi="ar-DZ"/>
        </w:rPr>
        <w:t>)</w:t>
      </w:r>
      <w:r>
        <w:rPr>
          <w:rFonts w:ascii="Traditional Arabic" w:eastAsia="Times New Roman" w:hAnsi="Traditional Arabic" w:cs="Traditional Arabic"/>
          <w:sz w:val="32"/>
          <w:szCs w:val="32"/>
          <w:lang w:bidi="ar-DZ"/>
        </w:rPr>
        <w:t>.</w:t>
      </w:r>
    </w:p>
    <w:p w14:paraId="2EE8AE8F" w14:textId="77777777" w:rsidR="00DF0B27" w:rsidRPr="00DF0B27" w:rsidRDefault="00DF0B27" w:rsidP="0099106E">
      <w:pPr>
        <w:numPr>
          <w:ilvl w:val="1"/>
          <w:numId w:val="4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lastRenderedPageBreak/>
        <w:t>القنوات التي اعتمدت على التوريق كانت أول من انهار عند جفاف السيولة في سوق الائتمان</w:t>
      </w:r>
      <w:r>
        <w:rPr>
          <w:rFonts w:ascii="Traditional Arabic" w:eastAsia="Times New Roman" w:hAnsi="Traditional Arabic" w:cs="Traditional Arabic"/>
          <w:sz w:val="32"/>
          <w:szCs w:val="32"/>
          <w:lang w:bidi="ar-DZ"/>
        </w:rPr>
        <w:t>.</w:t>
      </w:r>
    </w:p>
    <w:p w14:paraId="2F7D71A7" w14:textId="77777777" w:rsidR="00DF0B27" w:rsidRPr="00DF0B27" w:rsidRDefault="00DF0B27" w:rsidP="0099106E">
      <w:pPr>
        <w:numPr>
          <w:ilvl w:val="1"/>
          <w:numId w:val="4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تركز المخاطر في النظام المصرفي كان أكبر مما أظهرته التقارير الرسمية قبل الأزمة</w:t>
      </w:r>
      <w:r>
        <w:rPr>
          <w:rFonts w:ascii="Traditional Arabic" w:eastAsia="Times New Roman" w:hAnsi="Traditional Arabic" w:cs="Traditional Arabic"/>
          <w:sz w:val="32"/>
          <w:szCs w:val="32"/>
          <w:lang w:bidi="ar-DZ"/>
        </w:rPr>
        <w:t>.</w:t>
      </w:r>
    </w:p>
    <w:p w14:paraId="7A7DD501"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b/>
          <w:bCs/>
          <w:sz w:val="32"/>
          <w:szCs w:val="32"/>
          <w:lang w:bidi="ar-DZ"/>
        </w:rPr>
        <w:t>:</w:t>
      </w:r>
    </w:p>
    <w:p w14:paraId="48617030" w14:textId="77777777" w:rsidR="00DF0B27" w:rsidRPr="00DF0B27" w:rsidRDefault="00DF0B27" w:rsidP="0099106E">
      <w:pPr>
        <w:numPr>
          <w:ilvl w:val="1"/>
          <w:numId w:val="4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كشفت العيوب الهيكلية في تصميم أدوات التوريق التقليدية</w:t>
      </w:r>
      <w:r>
        <w:rPr>
          <w:rFonts w:ascii="Traditional Arabic" w:eastAsia="Times New Roman" w:hAnsi="Traditional Arabic" w:cs="Traditional Arabic"/>
          <w:sz w:val="32"/>
          <w:szCs w:val="32"/>
          <w:lang w:bidi="ar-DZ"/>
        </w:rPr>
        <w:t>.</w:t>
      </w:r>
    </w:p>
    <w:p w14:paraId="5D19BFC5" w14:textId="77777777" w:rsidR="00DF0B27" w:rsidRPr="00DF0B27" w:rsidRDefault="00DF0B27" w:rsidP="0099106E">
      <w:pPr>
        <w:numPr>
          <w:ilvl w:val="1"/>
          <w:numId w:val="4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قدمت إطاراً لفهم "بنوك الظل" وكيفية مراقبتها</w:t>
      </w:r>
      <w:r>
        <w:rPr>
          <w:rFonts w:ascii="Traditional Arabic" w:eastAsia="Times New Roman" w:hAnsi="Traditional Arabic" w:cs="Traditional Arabic"/>
          <w:sz w:val="32"/>
          <w:szCs w:val="32"/>
          <w:lang w:bidi="ar-DZ"/>
        </w:rPr>
        <w:t>.</w:t>
      </w:r>
    </w:p>
    <w:p w14:paraId="3FDEDCB5" w14:textId="77777777" w:rsidR="00DF0B27" w:rsidRPr="00DF0B27" w:rsidRDefault="00DF0B27" w:rsidP="0099106E">
      <w:pPr>
        <w:numPr>
          <w:ilvl w:val="1"/>
          <w:numId w:val="4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ساعدت في صياغة معايير "بازل 3" المتعلقة بالسيولة خارج الميزانية</w:t>
      </w:r>
      <w:r>
        <w:rPr>
          <w:rFonts w:ascii="Traditional Arabic" w:eastAsia="Times New Roman" w:hAnsi="Traditional Arabic" w:cs="Traditional Arabic"/>
          <w:sz w:val="32"/>
          <w:szCs w:val="32"/>
          <w:lang w:bidi="ar-DZ"/>
        </w:rPr>
        <w:t>.</w:t>
      </w:r>
    </w:p>
    <w:p w14:paraId="63C5D40F" w14:textId="77777777" w:rsidR="00DF0B27" w:rsidRDefault="00DF0B27" w:rsidP="0099106E">
      <w:pPr>
        <w:numPr>
          <w:ilvl w:val="1"/>
          <w:numId w:val="4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تعتبر مرجعاً أساسياً لفهم الترابط بين الابتكار المالي والمخاطر النظامية</w:t>
      </w:r>
      <w:r>
        <w:rPr>
          <w:rFonts w:ascii="Traditional Arabic" w:eastAsia="Times New Roman" w:hAnsi="Traditional Arabic" w:cs="Traditional Arabic"/>
          <w:sz w:val="32"/>
          <w:szCs w:val="32"/>
          <w:lang w:bidi="ar-DZ"/>
        </w:rPr>
        <w:t>.</w:t>
      </w:r>
    </w:p>
    <w:p w14:paraId="37652827" w14:textId="77777777" w:rsidR="00F60CEC" w:rsidRPr="00F60CEC" w:rsidRDefault="00F60CEC" w:rsidP="0099106E">
      <w:pPr>
        <w:pStyle w:val="Paragraphedeliste"/>
        <w:numPr>
          <w:ilvl w:val="0"/>
          <w:numId w:val="46"/>
        </w:numPr>
        <w:bidi/>
        <w:spacing w:after="0" w:line="240" w:lineRule="auto"/>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 xml:space="preserve">دراسة   </w:t>
      </w:r>
      <w:r>
        <w:rPr>
          <w:rFonts w:ascii="Traditional Arabic" w:eastAsia="Times New Roman" w:hAnsi="Traditional Arabic" w:cs="Traditional Arabic"/>
          <w:b/>
          <w:bCs/>
          <w:sz w:val="32"/>
          <w:szCs w:val="32"/>
          <w:lang w:bidi="ar-DZ"/>
        </w:rPr>
        <w:t xml:space="preserve"> Christopher J. Mayer</w:t>
      </w:r>
      <w:r>
        <w:rPr>
          <w:rFonts w:ascii="Traditional Arabic" w:eastAsia="Times New Roman" w:hAnsi="Traditional Arabic" w:cs="Traditional Arabic" w:hint="cs"/>
          <w:b/>
          <w:bCs/>
          <w:sz w:val="32"/>
          <w:szCs w:val="32"/>
          <w:rtl/>
          <w:lang w:bidi="ar-DZ"/>
        </w:rPr>
        <w:t xml:space="preserve"> (2014)</w:t>
      </w:r>
    </w:p>
    <w:p w14:paraId="3EC23ECE" w14:textId="77777777" w:rsidR="00F60CEC" w:rsidRPr="00F60CEC" w:rsidRDefault="00F60CEC"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المعنونة بـــــ"</w:t>
      </w:r>
      <w:r>
        <w:rPr>
          <w:rFonts w:ascii="Traditional Arabic" w:eastAsia="Times New Roman" w:hAnsi="Traditional Arabic" w:cs="Traditional Arabic"/>
          <w:b/>
          <w:bCs/>
          <w:sz w:val="32"/>
          <w:szCs w:val="32"/>
          <w:rtl/>
        </w:rPr>
        <w:t xml:space="preserve"> التوريق وتكاليف الوكالة: أدلة من الرهن العقاري السكني</w:t>
      </w:r>
      <w:r>
        <w:rPr>
          <w:rFonts w:ascii="Traditional Arabic" w:eastAsia="Times New Roman" w:hAnsi="Traditional Arabic" w:cs="Traditional Arabic" w:hint="cs"/>
          <w:b/>
          <w:bCs/>
          <w:sz w:val="32"/>
          <w:szCs w:val="32"/>
          <w:rtl/>
        </w:rPr>
        <w:t>."</w:t>
      </w:r>
    </w:p>
    <w:p w14:paraId="3CF0281F" w14:textId="77777777" w:rsidR="00F60CEC" w:rsidRPr="00DF0B27" w:rsidRDefault="00F60CEC"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b/>
          <w:bCs/>
          <w:sz w:val="32"/>
          <w:szCs w:val="32"/>
          <w:lang w:bidi="ar-DZ"/>
        </w:rPr>
        <w:t>:</w:t>
      </w:r>
    </w:p>
    <w:p w14:paraId="64400B72"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تضارب المصالح بين منشئي القروض (البنوك) والمستثمرين النهائيين</w:t>
      </w:r>
      <w:r>
        <w:rPr>
          <w:rFonts w:ascii="Traditional Arabic" w:eastAsia="Times New Roman" w:hAnsi="Traditional Arabic" w:cs="Traditional Arabic"/>
          <w:sz w:val="32"/>
          <w:szCs w:val="32"/>
          <w:lang w:bidi="ar-DZ"/>
        </w:rPr>
        <w:t>.</w:t>
      </w:r>
    </w:p>
    <w:p w14:paraId="0803FA9F"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دراسة كيفية تأثير التوريق على جودة متابعة القروض بعد منحها</w:t>
      </w:r>
      <w:r>
        <w:rPr>
          <w:rFonts w:ascii="Traditional Arabic" w:eastAsia="Times New Roman" w:hAnsi="Traditional Arabic" w:cs="Traditional Arabic"/>
          <w:sz w:val="32"/>
          <w:szCs w:val="32"/>
          <w:lang w:bidi="ar-DZ"/>
        </w:rPr>
        <w:t>.</w:t>
      </w:r>
    </w:p>
    <w:p w14:paraId="1BB24FF3"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تقييم فعالية "الاحتفاظ بالمخاطر</w:t>
      </w:r>
      <w:r>
        <w:rPr>
          <w:rFonts w:ascii="Traditional Arabic" w:eastAsia="Times New Roman" w:hAnsi="Traditional Arabic" w:cs="Traditional Arabic"/>
          <w:sz w:val="32"/>
          <w:szCs w:val="32"/>
          <w:lang w:bidi="ar-DZ"/>
        </w:rPr>
        <w:t xml:space="preserve">" (Risk Retention) </w:t>
      </w:r>
      <w:r>
        <w:rPr>
          <w:rFonts w:ascii="Traditional Arabic" w:eastAsia="Times New Roman" w:hAnsi="Traditional Arabic" w:cs="Traditional Arabic"/>
          <w:sz w:val="32"/>
          <w:szCs w:val="32"/>
          <w:rtl/>
        </w:rPr>
        <w:t>كأداة لتقليل تكاليف الوكالة</w:t>
      </w:r>
      <w:r>
        <w:rPr>
          <w:rFonts w:ascii="Traditional Arabic" w:eastAsia="Times New Roman" w:hAnsi="Traditional Arabic" w:cs="Traditional Arabic"/>
          <w:sz w:val="32"/>
          <w:szCs w:val="32"/>
          <w:lang w:bidi="ar-DZ"/>
        </w:rPr>
        <w:t>.</w:t>
      </w:r>
    </w:p>
    <w:p w14:paraId="22B1DADF"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فهم أثر تعديل القروض المتعثرة في المحافظ المورقة</w:t>
      </w:r>
      <w:r>
        <w:rPr>
          <w:rFonts w:ascii="Traditional Arabic" w:eastAsia="Times New Roman" w:hAnsi="Traditional Arabic" w:cs="Traditional Arabic"/>
          <w:sz w:val="32"/>
          <w:szCs w:val="32"/>
          <w:lang w:bidi="ar-DZ"/>
        </w:rPr>
        <w:t>.</w:t>
      </w:r>
    </w:p>
    <w:p w14:paraId="1C265C54" w14:textId="77777777" w:rsidR="00F60CEC" w:rsidRPr="00DF0B27" w:rsidRDefault="00F60CEC"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b/>
          <w:bCs/>
          <w:sz w:val="32"/>
          <w:szCs w:val="32"/>
          <w:lang w:bidi="ar-DZ"/>
        </w:rPr>
        <w:t>:</w:t>
      </w:r>
    </w:p>
    <w:p w14:paraId="06B0C8A7"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يخلق حوافز سلبية للبنوك، حيث تهتم بـ "الكم" على حساب "الكيف</w:t>
      </w:r>
      <w:r>
        <w:rPr>
          <w:rFonts w:ascii="Traditional Arabic" w:eastAsia="Times New Roman" w:hAnsi="Traditional Arabic" w:cs="Traditional Arabic"/>
          <w:sz w:val="32"/>
          <w:szCs w:val="32"/>
          <w:lang w:bidi="ar-DZ"/>
        </w:rPr>
        <w:t>".</w:t>
      </w:r>
    </w:p>
    <w:p w14:paraId="470E62BE"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البنوك تكون أقل رغبة في تعديل شروط القروض المتعثرة إذا كانت قد بيعت في عملية توريق</w:t>
      </w:r>
      <w:r>
        <w:rPr>
          <w:rFonts w:ascii="Traditional Arabic" w:eastAsia="Times New Roman" w:hAnsi="Traditional Arabic" w:cs="Traditional Arabic"/>
          <w:sz w:val="32"/>
          <w:szCs w:val="32"/>
          <w:lang w:bidi="ar-DZ"/>
        </w:rPr>
        <w:t>.</w:t>
      </w:r>
    </w:p>
    <w:p w14:paraId="0DEEF615"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غياب الشفافية في هيكل الأوراق المالية المورقة منع المستثمرين من اكتشاف تدني الجودة مبكراً</w:t>
      </w:r>
      <w:r>
        <w:rPr>
          <w:rFonts w:ascii="Traditional Arabic" w:eastAsia="Times New Roman" w:hAnsi="Traditional Arabic" w:cs="Traditional Arabic"/>
          <w:sz w:val="32"/>
          <w:szCs w:val="32"/>
          <w:lang w:bidi="ar-DZ"/>
        </w:rPr>
        <w:t>.</w:t>
      </w:r>
    </w:p>
    <w:p w14:paraId="23633C0D"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إلزام البنوك بالاحتفاظ بـ 5% من المخاطر يحسن جودة الائتمان بشكل ملموس</w:t>
      </w:r>
      <w:r>
        <w:rPr>
          <w:rFonts w:ascii="Traditional Arabic" w:eastAsia="Times New Roman" w:hAnsi="Traditional Arabic" w:cs="Traditional Arabic"/>
          <w:sz w:val="32"/>
          <w:szCs w:val="32"/>
          <w:lang w:bidi="ar-DZ"/>
        </w:rPr>
        <w:t>.</w:t>
      </w:r>
    </w:p>
    <w:p w14:paraId="31038FF2" w14:textId="77777777" w:rsidR="00F60CEC" w:rsidRPr="00DF0B27" w:rsidRDefault="00F60CEC"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b/>
          <w:bCs/>
          <w:sz w:val="32"/>
          <w:szCs w:val="32"/>
          <w:lang w:bidi="ar-DZ"/>
        </w:rPr>
        <w:t>:</w:t>
      </w:r>
    </w:p>
    <w:p w14:paraId="70B60CDB"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وضعت حجر الأساس التشريعي لقوانين حماية المستثمرين في سوق الأوراق المالية</w:t>
      </w:r>
      <w:r>
        <w:rPr>
          <w:rFonts w:ascii="Traditional Arabic" w:eastAsia="Times New Roman" w:hAnsi="Traditional Arabic" w:cs="Traditional Arabic"/>
          <w:sz w:val="32"/>
          <w:szCs w:val="32"/>
          <w:lang w:bidi="ar-DZ"/>
        </w:rPr>
        <w:t>.</w:t>
      </w:r>
    </w:p>
    <w:p w14:paraId="13181483"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ساهمت في تطوير نموذج "المنشئ الذي يحتفظ بالحصة</w:t>
      </w:r>
      <w:r>
        <w:rPr>
          <w:rFonts w:ascii="Traditional Arabic" w:eastAsia="Times New Roman" w:hAnsi="Traditional Arabic" w:cs="Traditional Arabic"/>
          <w:sz w:val="32"/>
          <w:szCs w:val="32"/>
          <w:lang w:bidi="ar-DZ"/>
        </w:rPr>
        <w:t>" (Skin in the game).</w:t>
      </w:r>
    </w:p>
    <w:p w14:paraId="1DD7AF3F"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قدمت أدلة تجريبية على ضرورة إصلاح وكالات التصنيف الائتماني</w:t>
      </w:r>
      <w:r>
        <w:rPr>
          <w:rFonts w:ascii="Traditional Arabic" w:eastAsia="Times New Roman" w:hAnsi="Traditional Arabic" w:cs="Traditional Arabic"/>
          <w:sz w:val="32"/>
          <w:szCs w:val="32"/>
          <w:lang w:bidi="ar-DZ"/>
        </w:rPr>
        <w:t>.</w:t>
      </w:r>
    </w:p>
    <w:p w14:paraId="766ACC90" w14:textId="77777777" w:rsidR="00F60CEC" w:rsidRPr="00DF0B27" w:rsidRDefault="00F60CEC" w:rsidP="0099106E">
      <w:pPr>
        <w:numPr>
          <w:ilvl w:val="1"/>
          <w:numId w:val="35"/>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تعتبر مرجعاً قانونياً واقتصادياً لفهم عقود التوريق المعقدة</w:t>
      </w:r>
      <w:r>
        <w:rPr>
          <w:rFonts w:ascii="Traditional Arabic" w:eastAsia="Times New Roman" w:hAnsi="Traditional Arabic" w:cs="Traditional Arabic"/>
          <w:sz w:val="32"/>
          <w:szCs w:val="32"/>
          <w:lang w:bidi="ar-DZ"/>
        </w:rPr>
        <w:t>.</w:t>
      </w:r>
    </w:p>
    <w:p w14:paraId="7A36B7DB" w14:textId="77777777" w:rsidR="00F60CEC" w:rsidRPr="00F60CEC" w:rsidRDefault="00F60CEC" w:rsidP="0099106E">
      <w:pPr>
        <w:pStyle w:val="Paragraphedeliste"/>
        <w:numPr>
          <w:ilvl w:val="0"/>
          <w:numId w:val="46"/>
        </w:numPr>
        <w:bidi/>
        <w:spacing w:after="0" w:line="240" w:lineRule="auto"/>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 xml:space="preserve">دراسة </w:t>
      </w:r>
      <w:r>
        <w:rPr>
          <w:rFonts w:ascii="Traditional Arabic" w:eastAsia="Times New Roman" w:hAnsi="Traditional Arabic" w:cs="Traditional Arabic"/>
          <w:b/>
          <w:bCs/>
          <w:sz w:val="32"/>
          <w:szCs w:val="32"/>
          <w:lang w:bidi="ar-DZ"/>
        </w:rPr>
        <w:t>Rebel A. Cole &amp; Richard J. Rosen</w:t>
      </w:r>
      <w:r>
        <w:rPr>
          <w:rFonts w:ascii="Traditional Arabic" w:eastAsia="Times New Roman" w:hAnsi="Traditional Arabic" w:cs="Traditional Arabic" w:hint="cs"/>
          <w:b/>
          <w:bCs/>
          <w:sz w:val="32"/>
          <w:szCs w:val="32"/>
          <w:rtl/>
          <w:lang w:bidi="ar-DZ"/>
        </w:rPr>
        <w:t xml:space="preserve"> (2021)</w:t>
      </w:r>
    </w:p>
    <w:p w14:paraId="20383D07" w14:textId="77777777" w:rsidR="00F60CEC" w:rsidRPr="00F60CEC" w:rsidRDefault="00F60CEC"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المعنونة بــــ" </w:t>
      </w:r>
      <w:r>
        <w:rPr>
          <w:rFonts w:ascii="Traditional Arabic" w:eastAsia="Times New Roman" w:hAnsi="Traditional Arabic" w:cs="Traditional Arabic"/>
          <w:b/>
          <w:bCs/>
          <w:sz w:val="32"/>
          <w:szCs w:val="32"/>
          <w:rtl/>
        </w:rPr>
        <w:t>توريق قروض المشروعات الصغيرة</w:t>
      </w:r>
      <w:r>
        <w:rPr>
          <w:rFonts w:ascii="Traditional Arabic" w:eastAsia="Times New Roman" w:hAnsi="Traditional Arabic" w:cs="Traditional Arabic" w:hint="cs"/>
          <w:b/>
          <w:bCs/>
          <w:sz w:val="32"/>
          <w:szCs w:val="32"/>
          <w:rtl/>
        </w:rPr>
        <w:t xml:space="preserve">." </w:t>
      </w:r>
    </w:p>
    <w:p w14:paraId="288A01BF"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b/>
          <w:bCs/>
          <w:sz w:val="32"/>
          <w:szCs w:val="32"/>
          <w:lang w:bidi="ar-DZ"/>
        </w:rPr>
        <w:t>:</w:t>
      </w:r>
    </w:p>
    <w:p w14:paraId="5171CBCF" w14:textId="77777777" w:rsidR="00DF0B27" w:rsidRPr="00DF0B27" w:rsidRDefault="00DF0B27" w:rsidP="0099106E">
      <w:pPr>
        <w:numPr>
          <w:ilvl w:val="1"/>
          <w:numId w:val="4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استقصاء أسباب ضعف نمو سوق توريق قروض المشروعات الصغيرة مقارنة بالعقارات</w:t>
      </w:r>
      <w:r>
        <w:rPr>
          <w:rFonts w:ascii="Traditional Arabic" w:eastAsia="Times New Roman" w:hAnsi="Traditional Arabic" w:cs="Traditional Arabic"/>
          <w:sz w:val="32"/>
          <w:szCs w:val="32"/>
          <w:lang w:bidi="ar-DZ"/>
        </w:rPr>
        <w:t>.</w:t>
      </w:r>
    </w:p>
    <w:p w14:paraId="15A4B2B9" w14:textId="77777777" w:rsidR="00DF0B27" w:rsidRPr="00DF0B27" w:rsidRDefault="00DF0B27" w:rsidP="0099106E">
      <w:pPr>
        <w:numPr>
          <w:ilvl w:val="1"/>
          <w:numId w:val="4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العقبات المعلوماتية التي تواجه المستثمرين في تقييم هذه القروض</w:t>
      </w:r>
      <w:r>
        <w:rPr>
          <w:rFonts w:ascii="Traditional Arabic" w:eastAsia="Times New Roman" w:hAnsi="Traditional Arabic" w:cs="Traditional Arabic"/>
          <w:sz w:val="32"/>
          <w:szCs w:val="32"/>
          <w:lang w:bidi="ar-DZ"/>
        </w:rPr>
        <w:t>.</w:t>
      </w:r>
    </w:p>
    <w:p w14:paraId="6A69139C" w14:textId="77777777" w:rsidR="00DF0B27" w:rsidRPr="00DF0B27" w:rsidRDefault="00DF0B27" w:rsidP="0099106E">
      <w:pPr>
        <w:numPr>
          <w:ilvl w:val="1"/>
          <w:numId w:val="4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lastRenderedPageBreak/>
        <w:t>دراسة أثر التوريق على تكلفة التمويل للمؤسسات الصغيرة والمتوسطة</w:t>
      </w:r>
      <w:r>
        <w:rPr>
          <w:rFonts w:ascii="Traditional Arabic" w:eastAsia="Times New Roman" w:hAnsi="Traditional Arabic" w:cs="Traditional Arabic"/>
          <w:sz w:val="32"/>
          <w:szCs w:val="32"/>
          <w:lang w:bidi="ar-DZ"/>
        </w:rPr>
        <w:t xml:space="preserve"> (SMEs).</w:t>
      </w:r>
    </w:p>
    <w:p w14:paraId="5C222E8C" w14:textId="77777777" w:rsidR="00DF0B27" w:rsidRPr="00DF0B27" w:rsidRDefault="00DF0B27" w:rsidP="0099106E">
      <w:pPr>
        <w:numPr>
          <w:ilvl w:val="1"/>
          <w:numId w:val="4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تقييم المبادرات الحكومية لتعزيز سوق توريق قروض الأعمال</w:t>
      </w:r>
      <w:r>
        <w:rPr>
          <w:rFonts w:ascii="Traditional Arabic" w:eastAsia="Times New Roman" w:hAnsi="Traditional Arabic" w:cs="Traditional Arabic"/>
          <w:sz w:val="32"/>
          <w:szCs w:val="32"/>
          <w:lang w:bidi="ar-DZ"/>
        </w:rPr>
        <w:t>.</w:t>
      </w:r>
    </w:p>
    <w:p w14:paraId="266099C3"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b/>
          <w:bCs/>
          <w:sz w:val="32"/>
          <w:szCs w:val="32"/>
          <w:lang w:bidi="ar-DZ"/>
        </w:rPr>
        <w:t>:</w:t>
      </w:r>
    </w:p>
    <w:p w14:paraId="62F78CB4" w14:textId="77777777" w:rsidR="00DF0B27" w:rsidRPr="00DF0B27" w:rsidRDefault="00DF0B27" w:rsidP="0099106E">
      <w:pPr>
        <w:numPr>
          <w:ilvl w:val="1"/>
          <w:numId w:val="3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عدم تجانس قروض المشروعات الصغيرة يجعل عملية "التنميط" اللازمة للتوريق صعبة ومكلفة</w:t>
      </w:r>
      <w:r>
        <w:rPr>
          <w:rFonts w:ascii="Traditional Arabic" w:eastAsia="Times New Roman" w:hAnsi="Traditional Arabic" w:cs="Traditional Arabic"/>
          <w:sz w:val="32"/>
          <w:szCs w:val="32"/>
          <w:lang w:bidi="ar-DZ"/>
        </w:rPr>
        <w:t>.</w:t>
      </w:r>
    </w:p>
    <w:p w14:paraId="4DDDBE71" w14:textId="77777777" w:rsidR="00DF0B27" w:rsidRPr="00DF0B27" w:rsidRDefault="00DF0B27" w:rsidP="0099106E">
      <w:pPr>
        <w:numPr>
          <w:ilvl w:val="1"/>
          <w:numId w:val="3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الناجح لهذه القروض يتطلب تدخلاً من وكالات ضمان ائتماني حكومية</w:t>
      </w:r>
      <w:r>
        <w:rPr>
          <w:rFonts w:ascii="Traditional Arabic" w:eastAsia="Times New Roman" w:hAnsi="Traditional Arabic" w:cs="Traditional Arabic"/>
          <w:sz w:val="32"/>
          <w:szCs w:val="32"/>
          <w:lang w:bidi="ar-DZ"/>
        </w:rPr>
        <w:t>.</w:t>
      </w:r>
    </w:p>
    <w:p w14:paraId="4EDFC1DA" w14:textId="77777777" w:rsidR="00DF0B27" w:rsidRPr="00DF0B27" w:rsidRDefault="00DF0B27" w:rsidP="0099106E">
      <w:pPr>
        <w:numPr>
          <w:ilvl w:val="1"/>
          <w:numId w:val="3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وجدت الدراسة أن البنوك التي تنجح في توريق هذه القروض تخفض أسعار الفائدة لعملائها</w:t>
      </w:r>
      <w:r>
        <w:rPr>
          <w:rFonts w:ascii="Traditional Arabic" w:eastAsia="Times New Roman" w:hAnsi="Traditional Arabic" w:cs="Traditional Arabic"/>
          <w:sz w:val="32"/>
          <w:szCs w:val="32"/>
          <w:lang w:bidi="ar-DZ"/>
        </w:rPr>
        <w:t>.</w:t>
      </w:r>
    </w:p>
    <w:p w14:paraId="791CA900" w14:textId="77777777" w:rsidR="00DF0B27" w:rsidRPr="00DF0B27" w:rsidRDefault="00DF0B27" w:rsidP="0099106E">
      <w:pPr>
        <w:numPr>
          <w:ilvl w:val="1"/>
          <w:numId w:val="3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التكنولوجيا المالية</w:t>
      </w:r>
      <w:r>
        <w:rPr>
          <w:rFonts w:ascii="Traditional Arabic" w:eastAsia="Times New Roman" w:hAnsi="Traditional Arabic" w:cs="Traditional Arabic"/>
          <w:sz w:val="32"/>
          <w:szCs w:val="32"/>
          <w:lang w:bidi="ar-DZ"/>
        </w:rPr>
        <w:t xml:space="preserve"> (Fintech) </w:t>
      </w:r>
      <w:r>
        <w:rPr>
          <w:rFonts w:ascii="Traditional Arabic" w:eastAsia="Times New Roman" w:hAnsi="Traditional Arabic" w:cs="Traditional Arabic"/>
          <w:sz w:val="32"/>
          <w:szCs w:val="32"/>
          <w:rtl/>
        </w:rPr>
        <w:t>بدأت تحل مشكلة "نقص المعلومات" وتسهل توريق هذه الأصول</w:t>
      </w:r>
      <w:r>
        <w:rPr>
          <w:rFonts w:ascii="Traditional Arabic" w:eastAsia="Times New Roman" w:hAnsi="Traditional Arabic" w:cs="Traditional Arabic"/>
          <w:sz w:val="32"/>
          <w:szCs w:val="32"/>
          <w:lang w:bidi="ar-DZ"/>
        </w:rPr>
        <w:t>.</w:t>
      </w:r>
    </w:p>
    <w:p w14:paraId="5B8C58EA"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b/>
          <w:bCs/>
          <w:sz w:val="32"/>
          <w:szCs w:val="32"/>
          <w:lang w:bidi="ar-DZ"/>
        </w:rPr>
        <w:t>:</w:t>
      </w:r>
    </w:p>
    <w:p w14:paraId="323BE2D9" w14:textId="77777777" w:rsidR="00DF0B27" w:rsidRPr="00DF0B27" w:rsidRDefault="00DF0B27" w:rsidP="0099106E">
      <w:pPr>
        <w:numPr>
          <w:ilvl w:val="1"/>
          <w:numId w:val="3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تفتح آفاقاً جديدة لتمويل قطاع المشروعات الصغيرة الذي يمثل عصب الاقتصاد</w:t>
      </w:r>
      <w:r>
        <w:rPr>
          <w:rFonts w:ascii="Traditional Arabic" w:eastAsia="Times New Roman" w:hAnsi="Traditional Arabic" w:cs="Traditional Arabic"/>
          <w:sz w:val="32"/>
          <w:szCs w:val="32"/>
          <w:lang w:bidi="ar-DZ"/>
        </w:rPr>
        <w:t>.</w:t>
      </w:r>
    </w:p>
    <w:p w14:paraId="3E7A7081" w14:textId="77777777" w:rsidR="00DF0B27" w:rsidRPr="00DF0B27" w:rsidRDefault="00DF0B27" w:rsidP="0099106E">
      <w:pPr>
        <w:numPr>
          <w:ilvl w:val="1"/>
          <w:numId w:val="3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تقدم حلولاً لتقليل فجوة التمويل في الدول المتقدمة والناشئة على حد سواء</w:t>
      </w:r>
      <w:r>
        <w:rPr>
          <w:rFonts w:ascii="Traditional Arabic" w:eastAsia="Times New Roman" w:hAnsi="Traditional Arabic" w:cs="Traditional Arabic"/>
          <w:sz w:val="32"/>
          <w:szCs w:val="32"/>
          <w:lang w:bidi="ar-DZ"/>
        </w:rPr>
        <w:t>.</w:t>
      </w:r>
    </w:p>
    <w:p w14:paraId="7A3ADE40" w14:textId="77777777" w:rsidR="00DF0B27" w:rsidRPr="00DF0B27" w:rsidRDefault="00DF0B27" w:rsidP="0099106E">
      <w:pPr>
        <w:numPr>
          <w:ilvl w:val="1"/>
          <w:numId w:val="3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تربط بين الابتكار الرقمي</w:t>
      </w:r>
      <w:r>
        <w:rPr>
          <w:rFonts w:ascii="Traditional Arabic" w:eastAsia="Times New Roman" w:hAnsi="Traditional Arabic" w:cs="Traditional Arabic"/>
          <w:sz w:val="32"/>
          <w:szCs w:val="32"/>
          <w:lang w:bidi="ar-DZ"/>
        </w:rPr>
        <w:t xml:space="preserve"> (Fintech) </w:t>
      </w:r>
      <w:r>
        <w:rPr>
          <w:rFonts w:ascii="Traditional Arabic" w:eastAsia="Times New Roman" w:hAnsi="Traditional Arabic" w:cs="Traditional Arabic"/>
          <w:sz w:val="32"/>
          <w:szCs w:val="32"/>
          <w:rtl/>
        </w:rPr>
        <w:t>وهياكل التمويل التقليدية</w:t>
      </w:r>
      <w:r>
        <w:rPr>
          <w:rFonts w:ascii="Traditional Arabic" w:eastAsia="Times New Roman" w:hAnsi="Traditional Arabic" w:cs="Traditional Arabic"/>
          <w:sz w:val="32"/>
          <w:szCs w:val="32"/>
          <w:lang w:bidi="ar-DZ"/>
        </w:rPr>
        <w:t>.</w:t>
      </w:r>
    </w:p>
    <w:p w14:paraId="3F6D31D7" w14:textId="77777777" w:rsidR="00DF0B27" w:rsidRPr="00DF0B27" w:rsidRDefault="00DF0B27" w:rsidP="0099106E">
      <w:pPr>
        <w:numPr>
          <w:ilvl w:val="1"/>
          <w:numId w:val="34"/>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تسلط الضوء على دور السياسات العامة في دعم الأسواق المالية المتخصصة</w:t>
      </w:r>
      <w:r>
        <w:rPr>
          <w:rFonts w:ascii="Traditional Arabic" w:eastAsia="Times New Roman" w:hAnsi="Traditional Arabic" w:cs="Traditional Arabic"/>
          <w:sz w:val="32"/>
          <w:szCs w:val="32"/>
          <w:lang w:bidi="ar-DZ"/>
        </w:rPr>
        <w:t>.</w:t>
      </w:r>
    </w:p>
    <w:p w14:paraId="5B1DD0DB" w14:textId="77777777" w:rsidR="00F60CEC" w:rsidRPr="00F60CEC" w:rsidRDefault="00F60CEC" w:rsidP="0099106E">
      <w:pPr>
        <w:pStyle w:val="Paragraphedeliste"/>
        <w:numPr>
          <w:ilvl w:val="0"/>
          <w:numId w:val="46"/>
        </w:numPr>
        <w:bidi/>
        <w:spacing w:after="0" w:line="240" w:lineRule="auto"/>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 xml:space="preserve">دراسة </w:t>
      </w:r>
      <w:proofErr w:type="spellStart"/>
      <w:r>
        <w:rPr>
          <w:rFonts w:ascii="Traditional Arabic" w:eastAsia="Times New Roman" w:hAnsi="Traditional Arabic" w:cs="Traditional Arabic"/>
          <w:b/>
          <w:bCs/>
          <w:sz w:val="32"/>
          <w:szCs w:val="32"/>
          <w:lang w:bidi="ar-DZ"/>
        </w:rPr>
        <w:t>Gianfrate</w:t>
      </w:r>
      <w:proofErr w:type="spellEnd"/>
      <w:r>
        <w:rPr>
          <w:rFonts w:ascii="Traditional Arabic" w:eastAsia="Times New Roman" w:hAnsi="Traditional Arabic" w:cs="Traditional Arabic"/>
          <w:b/>
          <w:bCs/>
          <w:sz w:val="32"/>
          <w:szCs w:val="32"/>
          <w:lang w:bidi="ar-DZ"/>
        </w:rPr>
        <w:t>, G. &amp; Peri, M</w:t>
      </w:r>
      <w:r>
        <w:rPr>
          <w:rFonts w:ascii="Traditional Arabic" w:eastAsia="Times New Roman" w:hAnsi="Traditional Arabic" w:cs="Traditional Arabic" w:hint="cs"/>
          <w:b/>
          <w:bCs/>
          <w:sz w:val="32"/>
          <w:szCs w:val="32"/>
          <w:rtl/>
          <w:lang w:bidi="ar-DZ"/>
        </w:rPr>
        <w:t xml:space="preserve"> (2022)</w:t>
      </w:r>
    </w:p>
    <w:p w14:paraId="21E253E7" w14:textId="77777777" w:rsidR="00F60CEC" w:rsidRPr="00F60CEC" w:rsidRDefault="00F60CEC"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المعنونة بـــــ" </w:t>
      </w:r>
      <w:r>
        <w:rPr>
          <w:rFonts w:ascii="Traditional Arabic" w:eastAsia="Times New Roman" w:hAnsi="Traditional Arabic" w:cs="Traditional Arabic"/>
          <w:b/>
          <w:bCs/>
          <w:sz w:val="32"/>
          <w:szCs w:val="32"/>
          <w:rtl/>
        </w:rPr>
        <w:t>التوريق المستدام والسندات الخضراء</w:t>
      </w:r>
      <w:r>
        <w:rPr>
          <w:rFonts w:ascii="Traditional Arabic" w:eastAsia="Times New Roman" w:hAnsi="Traditional Arabic" w:cs="Traditional Arabic" w:hint="cs"/>
          <w:b/>
          <w:bCs/>
          <w:sz w:val="32"/>
          <w:szCs w:val="32"/>
          <w:rtl/>
        </w:rPr>
        <w:t>"</w:t>
      </w:r>
    </w:p>
    <w:p w14:paraId="02B97F71"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b/>
          <w:bCs/>
          <w:sz w:val="32"/>
          <w:szCs w:val="32"/>
          <w:lang w:bidi="ar-DZ"/>
        </w:rPr>
        <w:t>:</w:t>
      </w:r>
    </w:p>
    <w:p w14:paraId="215AC035" w14:textId="77777777" w:rsidR="00DF0B27" w:rsidRPr="00DF0B27" w:rsidRDefault="00DF0B27" w:rsidP="0099106E">
      <w:pPr>
        <w:numPr>
          <w:ilvl w:val="1"/>
          <w:numId w:val="36"/>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استكشاف دور التوريق في تمويل الأصول الصديقة للبيئة (مثل السيارات الكهربائية والألواح الشمسية</w:t>
      </w:r>
      <w:r>
        <w:rPr>
          <w:rFonts w:ascii="Traditional Arabic" w:eastAsia="Times New Roman" w:hAnsi="Traditional Arabic" w:cs="Traditional Arabic" w:hint="cs"/>
          <w:sz w:val="32"/>
          <w:szCs w:val="32"/>
          <w:rtl/>
          <w:lang w:bidi="ar-DZ"/>
        </w:rPr>
        <w:t>)</w:t>
      </w:r>
      <w:r>
        <w:rPr>
          <w:rFonts w:ascii="Traditional Arabic" w:eastAsia="Times New Roman" w:hAnsi="Traditional Arabic" w:cs="Traditional Arabic"/>
          <w:sz w:val="32"/>
          <w:szCs w:val="32"/>
          <w:lang w:bidi="ar-DZ"/>
        </w:rPr>
        <w:t>.</w:t>
      </w:r>
    </w:p>
    <w:p w14:paraId="318C86E7" w14:textId="77777777" w:rsidR="00DF0B27" w:rsidRPr="00DF0B27" w:rsidRDefault="00DF0B27" w:rsidP="0099106E">
      <w:pPr>
        <w:numPr>
          <w:ilvl w:val="1"/>
          <w:numId w:val="36"/>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مقارنة العائد والمخاطر بين التوريق الأخضر والتوريق التقليدي</w:t>
      </w:r>
      <w:r>
        <w:rPr>
          <w:rFonts w:ascii="Traditional Arabic" w:eastAsia="Times New Roman" w:hAnsi="Traditional Arabic" w:cs="Traditional Arabic"/>
          <w:sz w:val="32"/>
          <w:szCs w:val="32"/>
          <w:lang w:bidi="ar-DZ"/>
        </w:rPr>
        <w:t>.</w:t>
      </w:r>
    </w:p>
    <w:p w14:paraId="772007A2" w14:textId="77777777" w:rsidR="00DF0B27" w:rsidRPr="00DF0B27" w:rsidRDefault="00DF0B27" w:rsidP="0099106E">
      <w:pPr>
        <w:numPr>
          <w:ilvl w:val="1"/>
          <w:numId w:val="36"/>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تحديد العوامل التي تجذب المستثمرين المؤسسيين نحو السندات المورقة المستدامة</w:t>
      </w:r>
      <w:r>
        <w:rPr>
          <w:rFonts w:ascii="Traditional Arabic" w:eastAsia="Times New Roman" w:hAnsi="Traditional Arabic" w:cs="Traditional Arabic"/>
          <w:sz w:val="32"/>
          <w:szCs w:val="32"/>
          <w:lang w:bidi="ar-DZ"/>
        </w:rPr>
        <w:t>.</w:t>
      </w:r>
    </w:p>
    <w:p w14:paraId="22D1C924" w14:textId="77777777" w:rsidR="00DF0B27" w:rsidRPr="00DF0B27" w:rsidRDefault="00DF0B27" w:rsidP="0099106E">
      <w:pPr>
        <w:numPr>
          <w:ilvl w:val="1"/>
          <w:numId w:val="36"/>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أثر "الترميز</w:t>
      </w:r>
      <w:r>
        <w:rPr>
          <w:rFonts w:ascii="Traditional Arabic" w:eastAsia="Times New Roman" w:hAnsi="Traditional Arabic" w:cs="Traditional Arabic"/>
          <w:sz w:val="32"/>
          <w:szCs w:val="32"/>
          <w:lang w:bidi="ar-DZ"/>
        </w:rPr>
        <w:t xml:space="preserve">" (Tokenization) </w:t>
      </w:r>
      <w:r>
        <w:rPr>
          <w:rFonts w:ascii="Traditional Arabic" w:eastAsia="Times New Roman" w:hAnsi="Traditional Arabic" w:cs="Traditional Arabic"/>
          <w:sz w:val="32"/>
          <w:szCs w:val="32"/>
          <w:rtl/>
        </w:rPr>
        <w:t>في زيادة كفاءة توريق الأصول الخضراء</w:t>
      </w:r>
      <w:r>
        <w:rPr>
          <w:rFonts w:ascii="Traditional Arabic" w:eastAsia="Times New Roman" w:hAnsi="Traditional Arabic" w:cs="Traditional Arabic"/>
          <w:sz w:val="32"/>
          <w:szCs w:val="32"/>
          <w:lang w:bidi="ar-DZ"/>
        </w:rPr>
        <w:t>.</w:t>
      </w:r>
    </w:p>
    <w:p w14:paraId="651E2425"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b/>
          <w:bCs/>
          <w:sz w:val="32"/>
          <w:szCs w:val="32"/>
          <w:lang w:bidi="ar-DZ"/>
        </w:rPr>
        <w:t>:</w:t>
      </w:r>
    </w:p>
    <w:p w14:paraId="505D96E0" w14:textId="77777777" w:rsidR="00DF0B27" w:rsidRPr="00DF0B27" w:rsidRDefault="00DF0B27" w:rsidP="0099106E">
      <w:pPr>
        <w:numPr>
          <w:ilvl w:val="1"/>
          <w:numId w:val="3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الأخضر يوفر سيولة فورية لشركات الطاقة المتجددة، مما يسرع وتيرة التحول الطاقي</w:t>
      </w:r>
      <w:r>
        <w:rPr>
          <w:rFonts w:ascii="Traditional Arabic" w:eastAsia="Times New Roman" w:hAnsi="Traditional Arabic" w:cs="Traditional Arabic"/>
          <w:sz w:val="32"/>
          <w:szCs w:val="32"/>
          <w:lang w:bidi="ar-DZ"/>
        </w:rPr>
        <w:t>.</w:t>
      </w:r>
    </w:p>
    <w:p w14:paraId="3171FDBF" w14:textId="77777777" w:rsidR="00DF0B27" w:rsidRPr="00DF0B27" w:rsidRDefault="00DF0B27" w:rsidP="0099106E">
      <w:pPr>
        <w:numPr>
          <w:ilvl w:val="1"/>
          <w:numId w:val="3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المستثمرون مستعدون لقبول عوائد أقل قليلاً مقابل أصول ذات تصنيف بيئي مرتفع</w:t>
      </w:r>
      <w:r>
        <w:rPr>
          <w:rFonts w:ascii="Traditional Arabic" w:eastAsia="Times New Roman" w:hAnsi="Traditional Arabic" w:cs="Traditional Arabic"/>
          <w:sz w:val="32"/>
          <w:szCs w:val="32"/>
          <w:lang w:bidi="ar-DZ"/>
        </w:rPr>
        <w:t xml:space="preserve"> (Green Premium).</w:t>
      </w:r>
    </w:p>
    <w:p w14:paraId="7D205137" w14:textId="77777777" w:rsidR="00DF0B27" w:rsidRPr="00DF0B27" w:rsidRDefault="00DF0B27" w:rsidP="0099106E">
      <w:pPr>
        <w:numPr>
          <w:ilvl w:val="1"/>
          <w:numId w:val="3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المستدام يقلل من مخاطر السمعة للبنوك المنشئة للقروض</w:t>
      </w:r>
      <w:r>
        <w:rPr>
          <w:rFonts w:ascii="Traditional Arabic" w:eastAsia="Times New Roman" w:hAnsi="Traditional Arabic" w:cs="Traditional Arabic"/>
          <w:sz w:val="32"/>
          <w:szCs w:val="32"/>
          <w:lang w:bidi="ar-DZ"/>
        </w:rPr>
        <w:t>.</w:t>
      </w:r>
    </w:p>
    <w:p w14:paraId="5BD89A19" w14:textId="77777777" w:rsidR="00DF0B27" w:rsidRPr="00DF0B27" w:rsidRDefault="00DF0B27" w:rsidP="0099106E">
      <w:pPr>
        <w:numPr>
          <w:ilvl w:val="1"/>
          <w:numId w:val="37"/>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 xml:space="preserve">تطبيق تقنيات </w:t>
      </w:r>
      <w:proofErr w:type="spellStart"/>
      <w:r>
        <w:rPr>
          <w:rFonts w:ascii="Traditional Arabic" w:eastAsia="Times New Roman" w:hAnsi="Traditional Arabic" w:cs="Traditional Arabic"/>
          <w:sz w:val="32"/>
          <w:szCs w:val="32"/>
          <w:rtl/>
        </w:rPr>
        <w:t>البلوكشين</w:t>
      </w:r>
      <w:proofErr w:type="spellEnd"/>
      <w:r>
        <w:rPr>
          <w:rFonts w:ascii="Traditional Arabic" w:eastAsia="Times New Roman" w:hAnsi="Traditional Arabic" w:cs="Traditional Arabic"/>
          <w:sz w:val="32"/>
          <w:szCs w:val="32"/>
          <w:rtl/>
        </w:rPr>
        <w:t xml:space="preserve"> في التوريق الأخضر يقلل تكاليف التشغيل بنسبة تصل إلى 30</w:t>
      </w:r>
      <w:r>
        <w:rPr>
          <w:rFonts w:ascii="Traditional Arabic" w:eastAsia="Times New Roman" w:hAnsi="Traditional Arabic" w:cs="Traditional Arabic"/>
          <w:sz w:val="32"/>
          <w:szCs w:val="32"/>
          <w:lang w:bidi="ar-DZ"/>
        </w:rPr>
        <w:t>%.</w:t>
      </w:r>
    </w:p>
    <w:p w14:paraId="1F9C994F"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b/>
          <w:bCs/>
          <w:sz w:val="32"/>
          <w:szCs w:val="32"/>
          <w:lang w:bidi="ar-DZ"/>
        </w:rPr>
        <w:t>:</w:t>
      </w:r>
    </w:p>
    <w:p w14:paraId="55B23893" w14:textId="77777777" w:rsidR="00DF0B27" w:rsidRPr="00DF0B27" w:rsidRDefault="00DF0B27" w:rsidP="0099106E">
      <w:pPr>
        <w:numPr>
          <w:ilvl w:val="1"/>
          <w:numId w:val="4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تربط بين الأسواق المالية واتفاقيات المناخ الدولية (مثل اتفاقية باريس</w:t>
      </w:r>
      <w:r>
        <w:rPr>
          <w:rFonts w:ascii="Traditional Arabic" w:eastAsia="Times New Roman" w:hAnsi="Traditional Arabic" w:cs="Traditional Arabic" w:hint="cs"/>
          <w:sz w:val="32"/>
          <w:szCs w:val="32"/>
          <w:rtl/>
          <w:lang w:bidi="ar-DZ"/>
        </w:rPr>
        <w:t>)</w:t>
      </w:r>
      <w:r>
        <w:rPr>
          <w:rFonts w:ascii="Traditional Arabic" w:eastAsia="Times New Roman" w:hAnsi="Traditional Arabic" w:cs="Traditional Arabic"/>
          <w:sz w:val="32"/>
          <w:szCs w:val="32"/>
          <w:lang w:bidi="ar-DZ"/>
        </w:rPr>
        <w:t>.</w:t>
      </w:r>
    </w:p>
    <w:p w14:paraId="3131472E" w14:textId="77777777" w:rsidR="00DF0B27" w:rsidRPr="00DF0B27" w:rsidRDefault="00DF0B27" w:rsidP="0099106E">
      <w:pPr>
        <w:numPr>
          <w:ilvl w:val="1"/>
          <w:numId w:val="4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تقدم نموذجاً عملياً لكيفية توجيه رأس المال الخاص نحو المشاريع المستدامة</w:t>
      </w:r>
      <w:r>
        <w:rPr>
          <w:rFonts w:ascii="Traditional Arabic" w:eastAsia="Times New Roman" w:hAnsi="Traditional Arabic" w:cs="Traditional Arabic"/>
          <w:sz w:val="32"/>
          <w:szCs w:val="32"/>
          <w:lang w:bidi="ar-DZ"/>
        </w:rPr>
        <w:t>.</w:t>
      </w:r>
    </w:p>
    <w:p w14:paraId="4A847924" w14:textId="77777777" w:rsidR="00DF0B27" w:rsidRPr="00DF0B27" w:rsidRDefault="00DF0B27" w:rsidP="0099106E">
      <w:pPr>
        <w:numPr>
          <w:ilvl w:val="1"/>
          <w:numId w:val="4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تبرز أهمية المعايير البيئية والاجتماعية والحوكمة</w:t>
      </w:r>
      <w:r>
        <w:rPr>
          <w:rFonts w:ascii="Traditional Arabic" w:eastAsia="Times New Roman" w:hAnsi="Traditional Arabic" w:cs="Traditional Arabic"/>
          <w:sz w:val="32"/>
          <w:szCs w:val="32"/>
          <w:lang w:bidi="ar-DZ"/>
        </w:rPr>
        <w:t xml:space="preserve"> (ESG) </w:t>
      </w:r>
      <w:r>
        <w:rPr>
          <w:rFonts w:ascii="Traditional Arabic" w:eastAsia="Times New Roman" w:hAnsi="Traditional Arabic" w:cs="Traditional Arabic"/>
          <w:sz w:val="32"/>
          <w:szCs w:val="32"/>
          <w:rtl/>
        </w:rPr>
        <w:t>في الهندسة المالية الحديثة</w:t>
      </w:r>
      <w:r>
        <w:rPr>
          <w:rFonts w:ascii="Traditional Arabic" w:eastAsia="Times New Roman" w:hAnsi="Traditional Arabic" w:cs="Traditional Arabic"/>
          <w:sz w:val="32"/>
          <w:szCs w:val="32"/>
          <w:lang w:bidi="ar-DZ"/>
        </w:rPr>
        <w:t>.</w:t>
      </w:r>
    </w:p>
    <w:p w14:paraId="57283437" w14:textId="77777777" w:rsidR="00DF0B27" w:rsidRPr="00DF0B27" w:rsidRDefault="00DF0B27" w:rsidP="0099106E">
      <w:pPr>
        <w:numPr>
          <w:ilvl w:val="1"/>
          <w:numId w:val="4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lastRenderedPageBreak/>
        <w:t>تدعم التوجه العالمي نحو "التمويل المسؤول</w:t>
      </w:r>
      <w:r>
        <w:rPr>
          <w:rFonts w:ascii="Traditional Arabic" w:eastAsia="Times New Roman" w:hAnsi="Traditional Arabic" w:cs="Traditional Arabic"/>
          <w:sz w:val="32"/>
          <w:szCs w:val="32"/>
          <w:lang w:bidi="ar-DZ"/>
        </w:rPr>
        <w:t>".</w:t>
      </w:r>
    </w:p>
    <w:p w14:paraId="3C680F87" w14:textId="77777777" w:rsidR="00F60CEC" w:rsidRPr="00282CEF" w:rsidRDefault="00F60CEC" w:rsidP="0099106E">
      <w:pPr>
        <w:pStyle w:val="Paragraphedeliste"/>
        <w:numPr>
          <w:ilvl w:val="0"/>
          <w:numId w:val="46"/>
        </w:numPr>
        <w:bidi/>
        <w:spacing w:after="0" w:line="240" w:lineRule="auto"/>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 xml:space="preserve">دراسة </w:t>
      </w:r>
      <w:proofErr w:type="spellStart"/>
      <w:r>
        <w:rPr>
          <w:rFonts w:ascii="Traditional Arabic" w:eastAsia="Times New Roman" w:hAnsi="Traditional Arabic" w:cs="Traditional Arabic"/>
          <w:b/>
          <w:bCs/>
          <w:sz w:val="32"/>
          <w:szCs w:val="32"/>
          <w:lang w:bidi="ar-DZ"/>
        </w:rPr>
        <w:t>Wenli</w:t>
      </w:r>
      <w:proofErr w:type="spellEnd"/>
      <w:r>
        <w:rPr>
          <w:rFonts w:ascii="Traditional Arabic" w:eastAsia="Times New Roman" w:hAnsi="Traditional Arabic" w:cs="Traditional Arabic"/>
          <w:b/>
          <w:bCs/>
          <w:sz w:val="32"/>
          <w:szCs w:val="32"/>
          <w:lang w:bidi="ar-DZ"/>
        </w:rPr>
        <w:t xml:space="preserve"> Li &amp; James Vickery</w:t>
      </w:r>
      <w:r>
        <w:rPr>
          <w:rFonts w:ascii="Traditional Arabic" w:eastAsia="Times New Roman" w:hAnsi="Traditional Arabic" w:cs="Traditional Arabic" w:hint="cs"/>
          <w:b/>
          <w:bCs/>
          <w:sz w:val="32"/>
          <w:szCs w:val="32"/>
          <w:rtl/>
          <w:lang w:bidi="ar-DZ"/>
        </w:rPr>
        <w:t xml:space="preserve"> (2023)</w:t>
      </w:r>
    </w:p>
    <w:p w14:paraId="7F2876F2" w14:textId="77777777" w:rsidR="00F60CEC" w:rsidRPr="00282CEF" w:rsidRDefault="00F60CEC" w:rsidP="0099106E">
      <w:pPr>
        <w:bidi/>
        <w:spacing w:after="0" w:line="240" w:lineRule="auto"/>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المعنونة بـــــ" </w:t>
      </w:r>
      <w:r>
        <w:rPr>
          <w:rFonts w:ascii="Traditional Arabic" w:eastAsia="Times New Roman" w:hAnsi="Traditional Arabic" w:cs="Traditional Arabic"/>
          <w:b/>
          <w:bCs/>
          <w:sz w:val="32"/>
          <w:szCs w:val="32"/>
          <w:rtl/>
        </w:rPr>
        <w:t>توريق قروض السيارات والائتمان الاستهلاكي</w:t>
      </w:r>
      <w:r>
        <w:rPr>
          <w:rFonts w:ascii="Traditional Arabic" w:eastAsia="Times New Roman" w:hAnsi="Traditional Arabic" w:cs="Traditional Arabic" w:hint="cs"/>
          <w:b/>
          <w:bCs/>
          <w:sz w:val="32"/>
          <w:szCs w:val="32"/>
          <w:rtl/>
        </w:rPr>
        <w:t>"</w:t>
      </w:r>
    </w:p>
    <w:p w14:paraId="4E681800"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أهداف الدراسة</w:t>
      </w:r>
      <w:r>
        <w:rPr>
          <w:rFonts w:ascii="Traditional Arabic" w:eastAsia="Times New Roman" w:hAnsi="Traditional Arabic" w:cs="Traditional Arabic"/>
          <w:b/>
          <w:bCs/>
          <w:sz w:val="32"/>
          <w:szCs w:val="32"/>
          <w:lang w:bidi="ar-DZ"/>
        </w:rPr>
        <w:t>:</w:t>
      </w:r>
    </w:p>
    <w:p w14:paraId="0A6D9C08" w14:textId="77777777" w:rsidR="00DF0B27" w:rsidRPr="00DF0B27" w:rsidRDefault="00DF0B27" w:rsidP="0099106E">
      <w:pPr>
        <w:numPr>
          <w:ilvl w:val="1"/>
          <w:numId w:val="49"/>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تحليل نمو سوق توريق قروض السيارات وتأثيره على مبيعات المركبات</w:t>
      </w:r>
      <w:r>
        <w:rPr>
          <w:rFonts w:ascii="Traditional Arabic" w:eastAsia="Times New Roman" w:hAnsi="Traditional Arabic" w:cs="Traditional Arabic"/>
          <w:sz w:val="32"/>
          <w:szCs w:val="32"/>
          <w:lang w:bidi="ar-DZ"/>
        </w:rPr>
        <w:t>.</w:t>
      </w:r>
    </w:p>
    <w:p w14:paraId="2A07A531" w14:textId="77777777" w:rsidR="00DF0B27" w:rsidRPr="00DF0B27" w:rsidRDefault="00DF0B27" w:rsidP="0099106E">
      <w:pPr>
        <w:numPr>
          <w:ilvl w:val="1"/>
          <w:numId w:val="49"/>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دراسة الفوارق في معدلات التعثر بين القروض المورقة والقروض المحتفظ بها في الميزانية</w:t>
      </w:r>
      <w:r>
        <w:rPr>
          <w:rFonts w:ascii="Traditional Arabic" w:eastAsia="Times New Roman" w:hAnsi="Traditional Arabic" w:cs="Traditional Arabic"/>
          <w:sz w:val="32"/>
          <w:szCs w:val="32"/>
          <w:lang w:bidi="ar-DZ"/>
        </w:rPr>
        <w:t>.</w:t>
      </w:r>
    </w:p>
    <w:p w14:paraId="02590AD1" w14:textId="77777777" w:rsidR="00DF0B27" w:rsidRPr="00DF0B27" w:rsidRDefault="00DF0B27" w:rsidP="0099106E">
      <w:pPr>
        <w:numPr>
          <w:ilvl w:val="1"/>
          <w:numId w:val="49"/>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تقييم أثر دورات الاقتصاد الكلي على أداء الأوراق المالية المورقة المدعومة بقروض السيارات</w:t>
      </w:r>
      <w:r>
        <w:rPr>
          <w:rFonts w:ascii="Traditional Arabic" w:eastAsia="Times New Roman" w:hAnsi="Traditional Arabic" w:cs="Traditional Arabic"/>
          <w:sz w:val="32"/>
          <w:szCs w:val="32"/>
          <w:lang w:bidi="ar-DZ"/>
        </w:rPr>
        <w:t xml:space="preserve"> (ABS).</w:t>
      </w:r>
    </w:p>
    <w:p w14:paraId="2D00A861" w14:textId="77777777" w:rsidR="00DF0B27" w:rsidRPr="00DF0B27" w:rsidRDefault="00DF0B27" w:rsidP="0099106E">
      <w:pPr>
        <w:numPr>
          <w:ilvl w:val="1"/>
          <w:numId w:val="49"/>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فهم دور شركات التمويل غير المصرفية في تنشيط هذا السوق</w:t>
      </w:r>
      <w:r>
        <w:rPr>
          <w:rFonts w:ascii="Traditional Arabic" w:eastAsia="Times New Roman" w:hAnsi="Traditional Arabic" w:cs="Traditional Arabic"/>
          <w:sz w:val="32"/>
          <w:szCs w:val="32"/>
          <w:lang w:bidi="ar-DZ"/>
        </w:rPr>
        <w:t>.</w:t>
      </w:r>
    </w:p>
    <w:p w14:paraId="0D484A6A"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نتائج الدراسة</w:t>
      </w:r>
      <w:r>
        <w:rPr>
          <w:rFonts w:ascii="Traditional Arabic" w:eastAsia="Times New Roman" w:hAnsi="Traditional Arabic" w:cs="Traditional Arabic"/>
          <w:b/>
          <w:bCs/>
          <w:sz w:val="32"/>
          <w:szCs w:val="32"/>
          <w:lang w:bidi="ar-DZ"/>
        </w:rPr>
        <w:t>:</w:t>
      </w:r>
    </w:p>
    <w:p w14:paraId="295B7F54" w14:textId="77777777" w:rsidR="00DF0B27" w:rsidRPr="00DF0B27" w:rsidRDefault="00DF0B27" w:rsidP="0099106E">
      <w:pPr>
        <w:numPr>
          <w:ilvl w:val="1"/>
          <w:numId w:val="3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التوريق أدى إلى خفض الدفعات المقدمة وتمديد آجال القروض للمستهلكين، مما زاد من مبيعات السيارات</w:t>
      </w:r>
      <w:r>
        <w:rPr>
          <w:rFonts w:ascii="Traditional Arabic" w:eastAsia="Times New Roman" w:hAnsi="Traditional Arabic" w:cs="Traditional Arabic"/>
          <w:sz w:val="32"/>
          <w:szCs w:val="32"/>
          <w:lang w:bidi="ar-DZ"/>
        </w:rPr>
        <w:t>.</w:t>
      </w:r>
    </w:p>
    <w:p w14:paraId="3630838C" w14:textId="77777777" w:rsidR="00DF0B27" w:rsidRPr="00DF0B27" w:rsidRDefault="00DF0B27" w:rsidP="0099106E">
      <w:pPr>
        <w:numPr>
          <w:ilvl w:val="1"/>
          <w:numId w:val="3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قروض السيارات المورقة أظهرت صموداً أكبر خلال الأزمات مقارنة بالرهون العقارية بسبب صغر حجم القرض وسهولة استرداد الأصل</w:t>
      </w:r>
      <w:r>
        <w:rPr>
          <w:rFonts w:ascii="Traditional Arabic" w:eastAsia="Times New Roman" w:hAnsi="Traditional Arabic" w:cs="Traditional Arabic"/>
          <w:sz w:val="32"/>
          <w:szCs w:val="32"/>
          <w:lang w:bidi="ar-DZ"/>
        </w:rPr>
        <w:t>.</w:t>
      </w:r>
    </w:p>
    <w:p w14:paraId="7E335704" w14:textId="77777777" w:rsidR="00DF0B27" w:rsidRPr="00DF0B27" w:rsidRDefault="00DF0B27" w:rsidP="0099106E">
      <w:pPr>
        <w:numPr>
          <w:ilvl w:val="1"/>
          <w:numId w:val="3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هناك علاقة طردية بين سهولة التوريق وزيادة القروض الممنوحة لذوي الجدارة الائتمانية المنخفضة</w:t>
      </w:r>
      <w:r>
        <w:rPr>
          <w:rFonts w:ascii="Traditional Arabic" w:eastAsia="Times New Roman" w:hAnsi="Traditional Arabic" w:cs="Traditional Arabic"/>
          <w:sz w:val="32"/>
          <w:szCs w:val="32"/>
          <w:lang w:bidi="ar-DZ"/>
        </w:rPr>
        <w:t xml:space="preserve"> (Subprime Auto Loans).</w:t>
      </w:r>
    </w:p>
    <w:p w14:paraId="129E2765" w14:textId="77777777" w:rsidR="00DF0B27" w:rsidRPr="00DF0B27" w:rsidRDefault="00DF0B27" w:rsidP="0099106E">
      <w:pPr>
        <w:numPr>
          <w:ilvl w:val="1"/>
          <w:numId w:val="3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شركات التمويل التابعة لشركات تصنيع السيارات هي الأكثر اعتماداً ونجاحاً في استخدام التوريق</w:t>
      </w:r>
      <w:r>
        <w:rPr>
          <w:rFonts w:ascii="Traditional Arabic" w:eastAsia="Times New Roman" w:hAnsi="Traditional Arabic" w:cs="Traditional Arabic"/>
          <w:sz w:val="32"/>
          <w:szCs w:val="32"/>
          <w:lang w:bidi="ar-DZ"/>
        </w:rPr>
        <w:t>.</w:t>
      </w:r>
    </w:p>
    <w:p w14:paraId="585A19BE" w14:textId="77777777" w:rsidR="00DF0B27" w:rsidRPr="00DF0B27" w:rsidRDefault="00DF0B27" w:rsidP="0099106E">
      <w:p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b/>
          <w:bCs/>
          <w:sz w:val="32"/>
          <w:szCs w:val="32"/>
          <w:rtl/>
        </w:rPr>
        <w:t>أهمية الدراسة</w:t>
      </w:r>
      <w:r>
        <w:rPr>
          <w:rFonts w:ascii="Traditional Arabic" w:eastAsia="Times New Roman" w:hAnsi="Traditional Arabic" w:cs="Traditional Arabic"/>
          <w:b/>
          <w:bCs/>
          <w:sz w:val="32"/>
          <w:szCs w:val="32"/>
          <w:lang w:bidi="ar-DZ"/>
        </w:rPr>
        <w:t>:</w:t>
      </w:r>
    </w:p>
    <w:p w14:paraId="139A75E1" w14:textId="77777777" w:rsidR="00DF0B27" w:rsidRPr="00282CEF" w:rsidRDefault="00DF0B27" w:rsidP="0099106E">
      <w:pPr>
        <w:pStyle w:val="Paragraphedeliste"/>
        <w:numPr>
          <w:ilvl w:val="0"/>
          <w:numId w:val="3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تسلط الضوء على قطاع تمويلي حيوي يؤثر على الصناعة والتجارة بشكل مباشر</w:t>
      </w:r>
      <w:r>
        <w:rPr>
          <w:rFonts w:ascii="Traditional Arabic" w:eastAsia="Times New Roman" w:hAnsi="Traditional Arabic" w:cs="Traditional Arabic"/>
          <w:sz w:val="32"/>
          <w:szCs w:val="32"/>
          <w:lang w:bidi="ar-DZ"/>
        </w:rPr>
        <w:t>.</w:t>
      </w:r>
    </w:p>
    <w:p w14:paraId="27A8E2C6" w14:textId="77777777" w:rsidR="00DF0B27" w:rsidRPr="00282CEF" w:rsidRDefault="00DF0B27" w:rsidP="0099106E">
      <w:pPr>
        <w:pStyle w:val="Paragraphedeliste"/>
        <w:numPr>
          <w:ilvl w:val="0"/>
          <w:numId w:val="3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توفر رؤى حول كيفية انتقال مخاطر الائتمان الاستهلاكي إلى أسواق المال</w:t>
      </w:r>
      <w:r>
        <w:rPr>
          <w:rFonts w:ascii="Traditional Arabic" w:eastAsia="Times New Roman" w:hAnsi="Traditional Arabic" w:cs="Traditional Arabic"/>
          <w:sz w:val="32"/>
          <w:szCs w:val="32"/>
          <w:lang w:bidi="ar-DZ"/>
        </w:rPr>
        <w:t>.</w:t>
      </w:r>
    </w:p>
    <w:p w14:paraId="15109BF3" w14:textId="77777777" w:rsidR="00DF0B27" w:rsidRPr="00282CEF" w:rsidRDefault="00DF0B27" w:rsidP="0099106E">
      <w:pPr>
        <w:pStyle w:val="Paragraphedeliste"/>
        <w:numPr>
          <w:ilvl w:val="0"/>
          <w:numId w:val="3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تساعد في التنبؤ بسلوك المستهلكين بناءً على توفر أدوات التوريق</w:t>
      </w:r>
      <w:r>
        <w:rPr>
          <w:rFonts w:ascii="Traditional Arabic" w:eastAsia="Times New Roman" w:hAnsi="Traditional Arabic" w:cs="Traditional Arabic"/>
          <w:sz w:val="32"/>
          <w:szCs w:val="32"/>
          <w:lang w:bidi="ar-DZ"/>
        </w:rPr>
        <w:t>.</w:t>
      </w:r>
    </w:p>
    <w:p w14:paraId="393B80D6" w14:textId="77777777" w:rsidR="00DF0B27" w:rsidRDefault="00DF0B27" w:rsidP="0099106E">
      <w:pPr>
        <w:pStyle w:val="Paragraphedeliste"/>
        <w:numPr>
          <w:ilvl w:val="0"/>
          <w:numId w:val="38"/>
        </w:numPr>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sz w:val="32"/>
          <w:szCs w:val="32"/>
          <w:rtl/>
        </w:rPr>
        <w:t>تبرز التميز الهيكلي لقروض السيارات كأصول قابلة للتوريق بأمان نسبي</w:t>
      </w:r>
      <w:r>
        <w:rPr>
          <w:rFonts w:ascii="Traditional Arabic" w:eastAsia="Times New Roman" w:hAnsi="Traditional Arabic" w:cs="Traditional Arabic"/>
          <w:sz w:val="32"/>
          <w:szCs w:val="32"/>
          <w:lang w:bidi="ar-DZ"/>
        </w:rPr>
        <w:t>.</w:t>
      </w:r>
    </w:p>
    <w:p w14:paraId="3ACA5720" w14:textId="77777777" w:rsidR="0054673C" w:rsidRDefault="0054673C" w:rsidP="0099106E">
      <w:pPr>
        <w:bidi/>
        <w:spacing w:after="0" w:line="240" w:lineRule="auto"/>
        <w:rPr>
          <w:rFonts w:ascii="Traditional Arabic" w:eastAsia="Times New Roman" w:hAnsi="Traditional Arabic" w:cs="Traditional Arabic"/>
          <w:sz w:val="32"/>
          <w:szCs w:val="32"/>
          <w:rtl/>
          <w:lang w:bidi="ar-DZ"/>
        </w:rPr>
      </w:pPr>
    </w:p>
    <w:p w14:paraId="7F7D481A" w14:textId="77777777" w:rsidR="0054673C" w:rsidRDefault="0054673C" w:rsidP="0099106E">
      <w:pPr>
        <w:bidi/>
        <w:spacing w:after="0" w:line="240" w:lineRule="auto"/>
        <w:rPr>
          <w:rFonts w:ascii="Traditional Arabic" w:eastAsia="Times New Roman" w:hAnsi="Traditional Arabic" w:cs="Traditional Arabic"/>
          <w:sz w:val="32"/>
          <w:szCs w:val="32"/>
          <w:rtl/>
          <w:lang w:bidi="ar-DZ"/>
        </w:rPr>
      </w:pPr>
    </w:p>
    <w:p w14:paraId="044419B7" w14:textId="77777777" w:rsidR="0099106E" w:rsidRDefault="0099106E" w:rsidP="0099106E">
      <w:pPr>
        <w:bidi/>
        <w:spacing w:after="0" w:line="240" w:lineRule="auto"/>
        <w:rPr>
          <w:rFonts w:ascii="Traditional Arabic" w:eastAsia="Times New Roman" w:hAnsi="Traditional Arabic" w:cs="Traditional Arabic"/>
          <w:sz w:val="32"/>
          <w:szCs w:val="32"/>
          <w:rtl/>
          <w:lang w:bidi="ar-DZ"/>
        </w:rPr>
      </w:pPr>
    </w:p>
    <w:p w14:paraId="439B3628" w14:textId="77777777" w:rsidR="0099106E" w:rsidRDefault="0099106E" w:rsidP="0099106E">
      <w:pPr>
        <w:bidi/>
        <w:spacing w:after="0" w:line="240" w:lineRule="auto"/>
        <w:rPr>
          <w:rFonts w:ascii="Traditional Arabic" w:eastAsia="Times New Roman" w:hAnsi="Traditional Arabic" w:cs="Traditional Arabic"/>
          <w:sz w:val="32"/>
          <w:szCs w:val="32"/>
          <w:rtl/>
          <w:lang w:bidi="ar-DZ"/>
        </w:rPr>
      </w:pPr>
    </w:p>
    <w:p w14:paraId="34796A9C" w14:textId="77777777" w:rsidR="0099106E" w:rsidRDefault="0099106E" w:rsidP="0099106E">
      <w:pPr>
        <w:bidi/>
        <w:spacing w:after="0" w:line="240" w:lineRule="auto"/>
        <w:rPr>
          <w:rFonts w:ascii="Traditional Arabic" w:eastAsia="Times New Roman" w:hAnsi="Traditional Arabic" w:cs="Traditional Arabic"/>
          <w:sz w:val="32"/>
          <w:szCs w:val="32"/>
          <w:rtl/>
          <w:lang w:bidi="ar-DZ"/>
        </w:rPr>
      </w:pPr>
    </w:p>
    <w:p w14:paraId="30FBA07D" w14:textId="77777777" w:rsidR="0099106E" w:rsidRDefault="0099106E" w:rsidP="0099106E">
      <w:pPr>
        <w:bidi/>
        <w:spacing w:after="0" w:line="240" w:lineRule="auto"/>
        <w:rPr>
          <w:rFonts w:ascii="Traditional Arabic" w:eastAsia="Times New Roman" w:hAnsi="Traditional Arabic" w:cs="Traditional Arabic"/>
          <w:sz w:val="32"/>
          <w:szCs w:val="32"/>
          <w:rtl/>
          <w:lang w:bidi="ar-DZ"/>
        </w:rPr>
      </w:pPr>
    </w:p>
    <w:p w14:paraId="4048AFA1" w14:textId="77777777" w:rsidR="0099106E" w:rsidRDefault="0099106E" w:rsidP="0099106E">
      <w:pPr>
        <w:bidi/>
        <w:spacing w:after="0" w:line="240" w:lineRule="auto"/>
        <w:rPr>
          <w:rFonts w:ascii="Traditional Arabic" w:eastAsia="Times New Roman" w:hAnsi="Traditional Arabic" w:cs="Traditional Arabic"/>
          <w:sz w:val="32"/>
          <w:szCs w:val="32"/>
          <w:rtl/>
          <w:lang w:bidi="ar-DZ"/>
        </w:rPr>
      </w:pPr>
    </w:p>
    <w:p w14:paraId="3F86939F" w14:textId="77777777" w:rsidR="0099106E" w:rsidRDefault="0099106E" w:rsidP="0099106E">
      <w:pPr>
        <w:bidi/>
        <w:spacing w:after="0" w:line="240" w:lineRule="auto"/>
        <w:rPr>
          <w:rFonts w:ascii="Traditional Arabic" w:eastAsia="Times New Roman" w:hAnsi="Traditional Arabic" w:cs="Traditional Arabic"/>
          <w:sz w:val="32"/>
          <w:szCs w:val="32"/>
          <w:rtl/>
          <w:lang w:bidi="ar-DZ"/>
        </w:rPr>
      </w:pPr>
    </w:p>
    <w:p w14:paraId="28DA1653" w14:textId="77777777" w:rsidR="0099106E" w:rsidRDefault="0099106E" w:rsidP="0099106E">
      <w:pPr>
        <w:bidi/>
        <w:spacing w:after="0" w:line="240" w:lineRule="auto"/>
        <w:rPr>
          <w:rFonts w:ascii="Traditional Arabic" w:eastAsia="Times New Roman" w:hAnsi="Traditional Arabic" w:cs="Traditional Arabic"/>
          <w:sz w:val="32"/>
          <w:szCs w:val="32"/>
          <w:rtl/>
          <w:lang w:bidi="ar-DZ"/>
        </w:rPr>
      </w:pPr>
    </w:p>
    <w:p w14:paraId="519746A4" w14:textId="77777777" w:rsidR="00934F62" w:rsidRPr="0054673C" w:rsidRDefault="0054673C" w:rsidP="0099106E">
      <w:pPr>
        <w:bidi/>
        <w:spacing w:after="0" w:line="240" w:lineRule="auto"/>
        <w:rPr>
          <w:rFonts w:ascii="Traditional Arabic" w:eastAsia="Times New Roman" w:hAnsi="Traditional Arabic" w:cs="Traditional Arabic"/>
          <w:b/>
          <w:bCs/>
          <w:sz w:val="36"/>
          <w:szCs w:val="36"/>
          <w:rtl/>
          <w:lang w:bidi="ar-DZ"/>
        </w:rPr>
      </w:pPr>
      <w:r>
        <w:rPr>
          <w:rFonts w:ascii="Traditional Arabic" w:eastAsia="Times New Roman" w:hAnsi="Traditional Arabic" w:cs="Traditional Arabic" w:hint="cs"/>
          <w:b/>
          <w:bCs/>
          <w:sz w:val="36"/>
          <w:szCs w:val="36"/>
          <w:rtl/>
          <w:lang w:bidi="ar-DZ"/>
        </w:rPr>
        <w:lastRenderedPageBreak/>
        <w:t xml:space="preserve">المطلب </w:t>
      </w:r>
      <w:proofErr w:type="gramStart"/>
      <w:r>
        <w:rPr>
          <w:rFonts w:ascii="Traditional Arabic" w:eastAsia="Times New Roman" w:hAnsi="Traditional Arabic" w:cs="Traditional Arabic" w:hint="cs"/>
          <w:b/>
          <w:bCs/>
          <w:sz w:val="36"/>
          <w:szCs w:val="36"/>
          <w:rtl/>
          <w:lang w:bidi="ar-DZ"/>
        </w:rPr>
        <w:t>الثالث :</w:t>
      </w:r>
      <w:proofErr w:type="gramEnd"/>
      <w:r>
        <w:rPr>
          <w:rFonts w:ascii="Traditional Arabic" w:eastAsia="Times New Roman" w:hAnsi="Traditional Arabic" w:cs="Traditional Arabic" w:hint="cs"/>
          <w:b/>
          <w:bCs/>
          <w:sz w:val="36"/>
          <w:szCs w:val="36"/>
          <w:rtl/>
          <w:lang w:bidi="ar-DZ"/>
        </w:rPr>
        <w:t xml:space="preserve"> التعقيب على الدراسات السابقة وأوجه الاختلاف والإضافة العلمية</w:t>
      </w:r>
    </w:p>
    <w:p w14:paraId="337DEF46" w14:textId="77777777" w:rsidR="00934F62" w:rsidRDefault="0054673C" w:rsidP="0099106E">
      <w:pPr>
        <w:bidi/>
        <w:spacing w:after="0" w:line="240" w:lineRule="auto"/>
        <w:rPr>
          <w:rFonts w:ascii="Traditional Arabic" w:eastAsia="Times New Roman" w:hAnsi="Traditional Arabic" w:cs="Traditional Arabic"/>
          <w:b/>
          <w:bCs/>
          <w:sz w:val="32"/>
          <w:szCs w:val="32"/>
          <w:rtl/>
        </w:rPr>
      </w:pPr>
      <w:r>
        <w:rPr>
          <w:rFonts w:ascii="Traditional Arabic" w:cs="Traditional Arabic"/>
          <w:b/>
          <w:bCs/>
          <w:sz w:val="32"/>
          <w:szCs w:val="32"/>
          <w:rtl/>
        </w:rPr>
        <w:t>أولاً: على صعيد الدراسات العربية</w:t>
      </w:r>
    </w:p>
    <w:p w14:paraId="01512747" w14:textId="77777777" w:rsidR="00934F62" w:rsidRDefault="0054673C" w:rsidP="0099106E">
      <w:pPr>
        <w:bidi/>
        <w:spacing w:after="0" w:line="240" w:lineRule="auto"/>
        <w:ind w:firstLine="720"/>
        <w:rPr>
          <w:rFonts w:ascii="Traditional Arabic" w:eastAsia="Times New Roman" w:hAnsi="Traditional Arabic" w:cs="Traditional Arabic"/>
          <w:sz w:val="32"/>
          <w:szCs w:val="32"/>
          <w:rtl/>
        </w:rPr>
      </w:pPr>
      <w:r>
        <w:rPr>
          <w:rFonts w:ascii="Traditional Arabic" w:cs="Traditional Arabic"/>
          <w:sz w:val="32"/>
          <w:szCs w:val="32"/>
          <w:rtl/>
        </w:rPr>
        <w:t>تتوافق الدراسة الحالية مع الدراسات العربية السابقة كدراسة (</w:t>
      </w:r>
      <w:proofErr w:type="spellStart"/>
      <w:r>
        <w:rPr>
          <w:rFonts w:ascii="Traditional Arabic" w:cs="Traditional Arabic"/>
          <w:sz w:val="32"/>
          <w:szCs w:val="32"/>
          <w:rtl/>
        </w:rPr>
        <w:t>السبوسي</w:t>
      </w:r>
      <w:proofErr w:type="spellEnd"/>
      <w:r>
        <w:rPr>
          <w:rFonts w:ascii="Traditional Arabic" w:cs="Traditional Arabic"/>
          <w:sz w:val="32"/>
          <w:szCs w:val="32"/>
          <w:rtl/>
        </w:rPr>
        <w:t>، 2019) ودراسة (الجنابي، 2021) ودراسة (</w:t>
      </w:r>
      <w:proofErr w:type="spellStart"/>
      <w:r>
        <w:rPr>
          <w:rFonts w:ascii="Traditional Arabic" w:cs="Traditional Arabic"/>
          <w:sz w:val="32"/>
          <w:szCs w:val="32"/>
          <w:rtl/>
        </w:rPr>
        <w:t>بوزياني</w:t>
      </w:r>
      <w:proofErr w:type="spellEnd"/>
      <w:r>
        <w:rPr>
          <w:rFonts w:ascii="Traditional Arabic" w:cs="Traditional Arabic"/>
          <w:sz w:val="32"/>
          <w:szCs w:val="32"/>
          <w:rtl/>
        </w:rPr>
        <w:t xml:space="preserve"> وحليلو، 2022) في اتخاذ التوريق المصرفي محوراً جوهرياً وفي توظيف المنهج الوصفي التحليلي. غير أنها تختلف عنها من حيث أن هذه الدراسات تناولت التوريق في السياق المصرفي الجزائري أو كبحث نظري مقارن، في حين تنفرد الدراسة الحالية بتركيزها المتكامل على إدارة المخاطر المصرفية من حيث المخاطر الائتمانية والسيولة وكفاية رأس المال، وبتحليل تطبيقي مفصّل لتجربة البنك الأهلي السعودي خلال الفترة 2019–2023 مع تحديد الأثر الكمي. وتُضيف هذه الدراسة مقاربة إدارة المخاطر كإطار تحليلي مركزي غاب عن الدراسات العربية المذكورة.</w:t>
      </w:r>
    </w:p>
    <w:p w14:paraId="215C6FEA" w14:textId="77777777" w:rsidR="00934F62" w:rsidRDefault="0054673C" w:rsidP="0099106E">
      <w:pPr>
        <w:bidi/>
        <w:spacing w:before="100" w:after="0" w:line="240" w:lineRule="auto"/>
        <w:rPr>
          <w:rFonts w:ascii="Traditional Arabic" w:eastAsia="Times New Roman" w:hAnsi="Traditional Arabic" w:cs="Traditional Arabic"/>
          <w:b/>
          <w:bCs/>
          <w:sz w:val="32"/>
          <w:szCs w:val="32"/>
          <w:rtl/>
        </w:rPr>
      </w:pPr>
      <w:r>
        <w:rPr>
          <w:rFonts w:ascii="Traditional Arabic" w:cs="Traditional Arabic"/>
          <w:b/>
          <w:bCs/>
          <w:sz w:val="32"/>
          <w:szCs w:val="32"/>
          <w:rtl/>
        </w:rPr>
        <w:t>ثانياً: على صعيد الدراسات الأجنبية</w:t>
      </w:r>
    </w:p>
    <w:p w14:paraId="723E226C" w14:textId="77777777" w:rsidR="00934F62" w:rsidRDefault="0054673C" w:rsidP="0099106E">
      <w:pPr>
        <w:bidi/>
        <w:spacing w:after="0" w:line="240" w:lineRule="auto"/>
        <w:ind w:firstLine="720"/>
        <w:rPr>
          <w:rFonts w:ascii="Traditional Arabic" w:eastAsia="Times New Roman" w:hAnsi="Traditional Arabic" w:cs="Traditional Arabic"/>
          <w:sz w:val="32"/>
          <w:szCs w:val="32"/>
          <w:rtl/>
        </w:rPr>
      </w:pPr>
      <w:r>
        <w:rPr>
          <w:rFonts w:ascii="Traditional Arabic" w:cs="Traditional Arabic"/>
          <w:sz w:val="32"/>
          <w:szCs w:val="32"/>
          <w:rtl/>
        </w:rPr>
        <w:t>ذهبت الدراسات الأجنبية كدراسة (</w:t>
      </w:r>
      <w:proofErr w:type="spellStart"/>
      <w:r>
        <w:rPr>
          <w:rFonts w:ascii="Traditional Arabic" w:cs="Traditional Arabic"/>
          <w:sz w:val="32"/>
          <w:szCs w:val="32"/>
          <w:rtl/>
        </w:rPr>
        <w:t>Altunbas</w:t>
      </w:r>
      <w:proofErr w:type="spellEnd"/>
      <w:r>
        <w:rPr>
          <w:rFonts w:ascii="Traditional Arabic" w:cs="Traditional Arabic"/>
          <w:sz w:val="32"/>
          <w:szCs w:val="32"/>
          <w:rtl/>
        </w:rPr>
        <w:t>, 2009) نحو التحليل في سياق أزمة الرهن العقاري 2008، فيما ركّزت دراسة (</w:t>
      </w:r>
      <w:proofErr w:type="spellStart"/>
      <w:r>
        <w:rPr>
          <w:rFonts w:ascii="Traditional Arabic" w:cs="Traditional Arabic"/>
          <w:sz w:val="32"/>
          <w:szCs w:val="32"/>
          <w:rtl/>
        </w:rPr>
        <w:t>Mayer</w:t>
      </w:r>
      <w:proofErr w:type="spellEnd"/>
      <w:r>
        <w:rPr>
          <w:rFonts w:ascii="Traditional Arabic" w:cs="Traditional Arabic"/>
          <w:sz w:val="32"/>
          <w:szCs w:val="32"/>
          <w:rtl/>
        </w:rPr>
        <w:t>, 2014) ودراسة (</w:t>
      </w:r>
      <w:proofErr w:type="spellStart"/>
      <w:r>
        <w:rPr>
          <w:rFonts w:ascii="Traditional Arabic" w:cs="Traditional Arabic"/>
          <w:sz w:val="32"/>
          <w:szCs w:val="32"/>
          <w:rtl/>
        </w:rPr>
        <w:t>Cole</w:t>
      </w:r>
      <w:proofErr w:type="spellEnd"/>
      <w:r>
        <w:rPr>
          <w:rFonts w:ascii="Traditional Arabic" w:cs="Traditional Arabic"/>
          <w:sz w:val="32"/>
          <w:szCs w:val="32"/>
          <w:rtl/>
        </w:rPr>
        <w:t xml:space="preserve"> &amp; </w:t>
      </w:r>
      <w:proofErr w:type="spellStart"/>
      <w:r>
        <w:rPr>
          <w:rFonts w:ascii="Traditional Arabic" w:cs="Traditional Arabic"/>
          <w:sz w:val="32"/>
          <w:szCs w:val="32"/>
          <w:rtl/>
        </w:rPr>
        <w:t>Rosen</w:t>
      </w:r>
      <w:proofErr w:type="spellEnd"/>
      <w:r>
        <w:rPr>
          <w:rFonts w:ascii="Traditional Arabic" w:cs="Traditional Arabic"/>
          <w:sz w:val="32"/>
          <w:szCs w:val="32"/>
          <w:rtl/>
        </w:rPr>
        <w:t>, 2021) على قروض المشروعات الصغيرة وتكاليف الوكالة في بيئات غربية. أوجه الاختلاف مع هذه الدراسة تتمثل في أنها ابتعدت عن السياق الخليجي والإسلامي ولم تتناول أثر التوريق على مؤشرات بازل 3 في بيئة مصرفية عربية. أما الإضافة العلمية لهذه الدراسة الحالية فتكمن في تقديم نموذج تطبيقي خليجي موثّق يقيس الأثر الكمي للتوريق على أربعة محاور لإدارة المخاطر المصرفية: الائتمانية، والسيولة، ورأس المال، والسوق، مستنداً إلى بيانات مالية حديثة للفترة 2019–2023.</w:t>
      </w:r>
    </w:p>
    <w:p w14:paraId="54BB7A56" w14:textId="77777777" w:rsidR="00934F62" w:rsidRDefault="0054673C" w:rsidP="0099106E">
      <w:pPr>
        <w:bidi/>
        <w:spacing w:before="100" w:after="0" w:line="240" w:lineRule="auto"/>
        <w:rPr>
          <w:rFonts w:ascii="Traditional Arabic" w:eastAsia="Times New Roman" w:hAnsi="Traditional Arabic" w:cs="Traditional Arabic"/>
          <w:b/>
          <w:bCs/>
          <w:sz w:val="32"/>
          <w:szCs w:val="32"/>
          <w:rtl/>
        </w:rPr>
      </w:pPr>
      <w:r>
        <w:rPr>
          <w:rFonts w:ascii="Traditional Arabic" w:cs="Traditional Arabic"/>
          <w:b/>
          <w:bCs/>
          <w:sz w:val="32"/>
          <w:szCs w:val="32"/>
          <w:rtl/>
        </w:rPr>
        <w:t>ثالثاً: النتيجة التي توصّلت إليها الدراسة</w:t>
      </w:r>
    </w:p>
    <w:p w14:paraId="37512975" w14:textId="77777777" w:rsidR="00934F62" w:rsidRDefault="0054673C" w:rsidP="0099106E">
      <w:pPr>
        <w:bidi/>
        <w:spacing w:after="0" w:line="240" w:lineRule="auto"/>
        <w:ind w:firstLine="720"/>
        <w:rPr>
          <w:rFonts w:ascii="Traditional Arabic" w:eastAsia="Times New Roman" w:hAnsi="Traditional Arabic" w:cs="Traditional Arabic"/>
          <w:sz w:val="32"/>
          <w:szCs w:val="32"/>
          <w:rtl/>
        </w:rPr>
      </w:pPr>
      <w:r>
        <w:rPr>
          <w:rFonts w:ascii="Traditional Arabic" w:cs="Traditional Arabic"/>
          <w:sz w:val="32"/>
          <w:szCs w:val="32"/>
          <w:rtl/>
        </w:rPr>
        <w:t>تُفيد الدراسة الحالية، في ضوء الإشكالية المطروحة، بأن التوريق يُساهم فعلاً وبصورة ملموسة في تحسين إدارة المخاطر المصرفية من خلال تخفيض المخاطر الائتمانية، وتعزيز السيولة، وتحسين معايير كفاية رأس المال وفق اتفاقيات بازل 3. وقد تجلّى ذلك بوضوح في تجربة البنك الأهلي السعودي، مما يُرسّخ مكانة التوريق أداةً استراتيجية لا غنى عنها في منظومة الإدارة المالية الحديثة للبنوك.</w:t>
      </w:r>
    </w:p>
    <w:p w14:paraId="3FB03CC7" w14:textId="77777777" w:rsidR="00934F62" w:rsidRDefault="00934F62" w:rsidP="0099106E">
      <w:pPr>
        <w:bidi/>
        <w:spacing w:after="0" w:line="240" w:lineRule="auto"/>
        <w:rPr>
          <w:rFonts w:ascii="Traditional Arabic" w:cs="Traditional Arabic"/>
          <w:sz w:val="32"/>
          <w:szCs w:val="32"/>
        </w:rPr>
      </w:pPr>
    </w:p>
    <w:p w14:paraId="67187EE0" w14:textId="77777777" w:rsidR="00934F62" w:rsidRDefault="0054673C" w:rsidP="0099106E">
      <w:pPr>
        <w:bidi/>
        <w:spacing w:after="0" w:line="240" w:lineRule="auto"/>
        <w:ind w:firstLine="720"/>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 xml:space="preserve">تأسيساً على ما تم استعراضه من أدبيات سابقة، تتقاطع هذه الدراسة مع التراث البحثي في اتخاذها من "التوريق المصرفي للديون" محوراً جوهرياً كأداة للهندسة المالية المعاصرة تهدف إلى تعزيز السيولة وإدارة المخاطر </w:t>
      </w:r>
      <w:proofErr w:type="gramStart"/>
      <w:r>
        <w:rPr>
          <w:rFonts w:ascii="Traditional Arabic" w:eastAsia="Times New Roman" w:hAnsi="Traditional Arabic" w:cs="Traditional Arabic"/>
          <w:sz w:val="32"/>
          <w:szCs w:val="32"/>
          <w:rtl/>
        </w:rPr>
        <w:t>الائتمانية ،</w:t>
      </w:r>
      <w:proofErr w:type="gramEnd"/>
      <w:r>
        <w:rPr>
          <w:rFonts w:ascii="Traditional Arabic" w:eastAsia="Times New Roman" w:hAnsi="Traditional Arabic" w:cs="Traditional Arabic"/>
          <w:sz w:val="32"/>
          <w:szCs w:val="32"/>
          <w:rtl/>
        </w:rPr>
        <w:t xml:space="preserve"> كما تتوافق منهجياً مع أغلب الدراسات العربية كدراسة (</w:t>
      </w:r>
      <w:proofErr w:type="spellStart"/>
      <w:r>
        <w:rPr>
          <w:rFonts w:ascii="Traditional Arabic" w:eastAsia="Times New Roman" w:hAnsi="Traditional Arabic" w:cs="Traditional Arabic"/>
          <w:sz w:val="32"/>
          <w:szCs w:val="32"/>
          <w:rtl/>
        </w:rPr>
        <w:t>السبوسي</w:t>
      </w:r>
      <w:proofErr w:type="spellEnd"/>
      <w:r>
        <w:rPr>
          <w:rFonts w:ascii="Traditional Arabic" w:eastAsia="Times New Roman" w:hAnsi="Traditional Arabic" w:cs="Traditional Arabic"/>
          <w:sz w:val="32"/>
          <w:szCs w:val="32"/>
          <w:rtl/>
        </w:rPr>
        <w:t>، 2019) ودراسة (الجنابي، 2021) ودراسة (</w:t>
      </w:r>
      <w:proofErr w:type="spellStart"/>
      <w:r>
        <w:rPr>
          <w:rFonts w:ascii="Traditional Arabic" w:eastAsia="Times New Roman" w:hAnsi="Traditional Arabic" w:cs="Traditional Arabic"/>
          <w:sz w:val="32"/>
          <w:szCs w:val="32"/>
          <w:rtl/>
        </w:rPr>
        <w:t>بوزياني</w:t>
      </w:r>
      <w:proofErr w:type="spellEnd"/>
      <w:r>
        <w:rPr>
          <w:rFonts w:ascii="Traditional Arabic" w:eastAsia="Times New Roman" w:hAnsi="Traditional Arabic" w:cs="Traditional Arabic"/>
          <w:sz w:val="32"/>
          <w:szCs w:val="32"/>
          <w:rtl/>
        </w:rPr>
        <w:t xml:space="preserve"> وحليلو، 2022) في استخدام المنهج الوصفي التحليلي لتشخيص واقع الممارسة المالية</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 xml:space="preserve">إلا أن هذه الدراسة تتمايز بتركيزها النوعي على الربط المتكامل بين "الإطار" النظري والتشريعي وبين </w:t>
      </w:r>
      <w:r>
        <w:rPr>
          <w:rFonts w:ascii="Traditional Arabic" w:eastAsia="Times New Roman" w:hAnsi="Traditional Arabic" w:cs="Traditional Arabic"/>
          <w:sz w:val="32"/>
          <w:szCs w:val="32"/>
          <w:rtl/>
        </w:rPr>
        <w:lastRenderedPageBreak/>
        <w:t>"الممارسة" التطبيقية في ظل التطورات الاقتصادية الراهنة، لتتجاوز بذلك النطاق الزمني للدراسات التي ركزت حصراً على تداعيات أزمة الرهن العقاري عام 2008 كدراسة (شعبان فرج، 2013) ودراسة</w:t>
      </w:r>
      <w:r>
        <w:rPr>
          <w:rFonts w:ascii="Traditional Arabic" w:eastAsia="Times New Roman" w:hAnsi="Traditional Arabic" w:cs="Traditional Arabic"/>
          <w:sz w:val="32"/>
          <w:szCs w:val="32"/>
        </w:rPr>
        <w:t xml:space="preserve"> (</w:t>
      </w:r>
      <w:proofErr w:type="spellStart"/>
      <w:r>
        <w:rPr>
          <w:rFonts w:ascii="Traditional Arabic" w:eastAsia="Times New Roman" w:hAnsi="Traditional Arabic" w:cs="Traditional Arabic"/>
          <w:sz w:val="32"/>
          <w:szCs w:val="32"/>
        </w:rPr>
        <w:t>Altunbas</w:t>
      </w:r>
      <w:proofErr w:type="spellEnd"/>
      <w:r>
        <w:rPr>
          <w:rFonts w:ascii="Traditional Arabic" w:eastAsia="Times New Roman" w:hAnsi="Traditional Arabic" w:cs="Traditional Arabic"/>
          <w:sz w:val="32"/>
          <w:szCs w:val="32"/>
        </w:rPr>
        <w:t xml:space="preserve">, 2009). </w:t>
      </w:r>
      <w:r>
        <w:rPr>
          <w:rFonts w:ascii="Traditional Arabic" w:eastAsia="Times New Roman" w:hAnsi="Traditional Arabic" w:cs="Traditional Arabic"/>
          <w:sz w:val="32"/>
          <w:szCs w:val="32"/>
          <w:rtl/>
        </w:rPr>
        <w:t>وبينما ذهبت دراسات أجنبية مثل</w:t>
      </w:r>
      <w:r>
        <w:rPr>
          <w:rFonts w:ascii="Traditional Arabic" w:eastAsia="Times New Roman" w:hAnsi="Traditional Arabic" w:cs="Traditional Arabic"/>
          <w:sz w:val="32"/>
          <w:szCs w:val="32"/>
        </w:rPr>
        <w:t xml:space="preserve"> (Mayer, 2014) </w:t>
      </w:r>
      <w:r>
        <w:rPr>
          <w:rFonts w:ascii="Traditional Arabic" w:eastAsia="Times New Roman" w:hAnsi="Traditional Arabic" w:cs="Traditional Arabic"/>
          <w:sz w:val="32"/>
          <w:szCs w:val="32"/>
          <w:rtl/>
        </w:rPr>
        <w:t>و</w:t>
      </w:r>
      <w:r>
        <w:rPr>
          <w:rFonts w:ascii="Traditional Arabic" w:eastAsia="Times New Roman" w:hAnsi="Traditional Arabic" w:cs="Traditional Arabic"/>
          <w:sz w:val="32"/>
          <w:szCs w:val="32"/>
        </w:rPr>
        <w:t xml:space="preserve">(Cole &amp; Rosen, 2021) </w:t>
      </w:r>
      <w:r>
        <w:rPr>
          <w:rFonts w:ascii="Traditional Arabic" w:eastAsia="Times New Roman" w:hAnsi="Traditional Arabic" w:cs="Traditional Arabic"/>
          <w:sz w:val="32"/>
          <w:szCs w:val="32"/>
          <w:rtl/>
        </w:rPr>
        <w:t xml:space="preserve">نحو تحليل تكاليف الوكالة وقروض المشروعات الصغيرة في بيئات </w:t>
      </w:r>
      <w:proofErr w:type="gramStart"/>
      <w:r>
        <w:rPr>
          <w:rFonts w:ascii="Traditional Arabic" w:eastAsia="Times New Roman" w:hAnsi="Traditional Arabic" w:cs="Traditional Arabic"/>
          <w:sz w:val="32"/>
          <w:szCs w:val="32"/>
          <w:rtl/>
        </w:rPr>
        <w:t>غربية ،</w:t>
      </w:r>
      <w:proofErr w:type="gramEnd"/>
      <w:r>
        <w:rPr>
          <w:rFonts w:ascii="Traditional Arabic" w:eastAsia="Times New Roman" w:hAnsi="Traditional Arabic" w:cs="Traditional Arabic"/>
          <w:sz w:val="32"/>
          <w:szCs w:val="32"/>
          <w:rtl/>
        </w:rPr>
        <w:t xml:space="preserve"> وانفردت دراسات أخرى بتناول نماذج توريق التأمين كدراسة (منال بن شيخ، 2019</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أو التوريق الأخضر المستدام ، تأتي دراستنا الحالية لتملأ الفجوة البحثية المتعلقة بتقديم نموذج تطبيقي شامل يوفق بين آليات التوريق التقليدية وبين متطلبات الحوكمة والضوابط الشرعية التي أكد عليها (السويلم، 2020) لضمان سلامة الأصول المورقة</w:t>
      </w:r>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 xml:space="preserve">وتكمن الإضافة العلمية هنا في صياغة رؤية نقدية للممارسة المصرفية تتفادى عيوب "بنوك الظل" </w:t>
      </w:r>
      <w:proofErr w:type="spellStart"/>
      <w:r>
        <w:rPr>
          <w:rFonts w:ascii="Traditional Arabic" w:eastAsia="Times New Roman" w:hAnsi="Traditional Arabic" w:cs="Traditional Arabic"/>
          <w:sz w:val="32"/>
          <w:szCs w:val="32"/>
          <w:rtl/>
        </w:rPr>
        <w:t>والمراجحة</w:t>
      </w:r>
      <w:proofErr w:type="spellEnd"/>
      <w:r>
        <w:rPr>
          <w:rFonts w:ascii="Traditional Arabic" w:eastAsia="Times New Roman" w:hAnsi="Traditional Arabic" w:cs="Traditional Arabic"/>
          <w:sz w:val="32"/>
          <w:szCs w:val="32"/>
          <w:rtl/>
        </w:rPr>
        <w:t xml:space="preserve"> التنظيمية التي حذرت منها دراسة</w:t>
      </w:r>
      <w:r>
        <w:rPr>
          <w:rFonts w:ascii="Traditional Arabic" w:eastAsia="Times New Roman" w:hAnsi="Traditional Arabic" w:cs="Traditional Arabic"/>
          <w:sz w:val="32"/>
          <w:szCs w:val="32"/>
        </w:rPr>
        <w:t xml:space="preserve"> (Acharya &amp; </w:t>
      </w:r>
      <w:proofErr w:type="spellStart"/>
      <w:r>
        <w:rPr>
          <w:rFonts w:ascii="Traditional Arabic" w:eastAsia="Times New Roman" w:hAnsi="Traditional Arabic" w:cs="Traditional Arabic"/>
          <w:sz w:val="32"/>
          <w:szCs w:val="32"/>
        </w:rPr>
        <w:t>Schnabl</w:t>
      </w:r>
      <w:proofErr w:type="spellEnd"/>
      <w:r>
        <w:rPr>
          <w:rFonts w:ascii="Traditional Arabic" w:eastAsia="Times New Roman" w:hAnsi="Traditional Arabic" w:cs="Traditional Arabic"/>
          <w:sz w:val="32"/>
          <w:szCs w:val="32"/>
        </w:rPr>
        <w:t>, 2010</w:t>
      </w:r>
      <w:proofErr w:type="gramStart"/>
      <w:r>
        <w:rPr>
          <w:rFonts w:ascii="Traditional Arabic" w:eastAsia="Times New Roman" w:hAnsi="Traditional Arabic" w:cs="Traditional Arabic"/>
          <w:sz w:val="32"/>
          <w:szCs w:val="32"/>
        </w:rPr>
        <w:t xml:space="preserve">) </w:t>
      </w:r>
      <w:r>
        <w:rPr>
          <w:rFonts w:ascii="Traditional Arabic" w:eastAsia="Times New Roman" w:hAnsi="Traditional Arabic" w:cs="Traditional Arabic"/>
          <w:sz w:val="32"/>
          <w:szCs w:val="32"/>
          <w:rtl/>
        </w:rPr>
        <w:t>،</w:t>
      </w:r>
      <w:proofErr w:type="gramEnd"/>
      <w:r>
        <w:rPr>
          <w:rFonts w:ascii="Traditional Arabic" w:eastAsia="Times New Roman" w:hAnsi="Traditional Arabic" w:cs="Traditional Arabic"/>
          <w:sz w:val="32"/>
          <w:szCs w:val="32"/>
          <w:rtl/>
        </w:rPr>
        <w:t xml:space="preserve"> مع اقتراح أطر تنظيمية تتناسب مع البيئة المحلية لسد الثغرات التشريعية التي رصدتها الدراسات السابقة ، مما يجعلها دليلاً </w:t>
      </w:r>
      <w:proofErr w:type="spellStart"/>
      <w:r>
        <w:rPr>
          <w:rFonts w:ascii="Traditional Arabic" w:eastAsia="Times New Roman" w:hAnsi="Traditional Arabic" w:cs="Traditional Arabic"/>
          <w:sz w:val="32"/>
          <w:szCs w:val="32"/>
          <w:rtl/>
        </w:rPr>
        <w:t>استرشادياً</w:t>
      </w:r>
      <w:proofErr w:type="spellEnd"/>
      <w:r>
        <w:rPr>
          <w:rFonts w:ascii="Traditional Arabic" w:eastAsia="Times New Roman" w:hAnsi="Traditional Arabic" w:cs="Traditional Arabic"/>
          <w:sz w:val="32"/>
          <w:szCs w:val="32"/>
          <w:rtl/>
        </w:rPr>
        <w:t xml:space="preserve"> يجمع بين دقة التأصيل النظري وواقعية التنفيذ العملي في الأسواق المالية المعاصرة</w:t>
      </w:r>
      <w:r>
        <w:rPr>
          <w:rFonts w:ascii="Traditional Arabic" w:eastAsia="Times New Roman" w:hAnsi="Traditional Arabic" w:cs="Traditional Arabic"/>
          <w:sz w:val="32"/>
          <w:szCs w:val="32"/>
        </w:rPr>
        <w:t>.</w:t>
      </w:r>
    </w:p>
    <w:p w14:paraId="31C83663"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68DB33BA"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3C5C5684"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3D6FC7AA"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044BAA11" w14:textId="77777777" w:rsidR="0099106E" w:rsidRDefault="0099106E" w:rsidP="0099106E">
      <w:pPr>
        <w:bidi/>
        <w:spacing w:before="100" w:beforeAutospacing="1" w:after="100" w:afterAutospacing="1" w:line="240" w:lineRule="auto"/>
        <w:rPr>
          <w:rFonts w:ascii="Traditional Arabic" w:eastAsia="Times New Roman" w:hAnsi="Traditional Arabic" w:cs="Traditional Arabic"/>
          <w:sz w:val="32"/>
          <w:szCs w:val="32"/>
          <w:rtl/>
        </w:rPr>
      </w:pPr>
    </w:p>
    <w:p w14:paraId="65C7F177" w14:textId="77777777" w:rsidR="0099106E" w:rsidRDefault="0099106E" w:rsidP="0099106E">
      <w:pPr>
        <w:bidi/>
        <w:spacing w:before="100" w:beforeAutospacing="1" w:after="100" w:afterAutospacing="1" w:line="240" w:lineRule="auto"/>
        <w:rPr>
          <w:rFonts w:ascii="Traditional Arabic" w:eastAsia="Times New Roman" w:hAnsi="Traditional Arabic" w:cs="Traditional Arabic"/>
          <w:sz w:val="32"/>
          <w:szCs w:val="32"/>
          <w:rtl/>
        </w:rPr>
      </w:pPr>
    </w:p>
    <w:p w14:paraId="42875146" w14:textId="77777777" w:rsidR="0099106E" w:rsidRDefault="0099106E" w:rsidP="0099106E">
      <w:pPr>
        <w:bidi/>
        <w:spacing w:before="100" w:beforeAutospacing="1" w:after="100" w:afterAutospacing="1" w:line="240" w:lineRule="auto"/>
        <w:rPr>
          <w:rFonts w:ascii="Traditional Arabic" w:eastAsia="Times New Roman" w:hAnsi="Traditional Arabic" w:cs="Traditional Arabic"/>
          <w:sz w:val="32"/>
          <w:szCs w:val="32"/>
          <w:rtl/>
        </w:rPr>
      </w:pPr>
    </w:p>
    <w:p w14:paraId="5C45CB9C" w14:textId="77777777" w:rsidR="00EE0B13" w:rsidRPr="00EE0B13" w:rsidRDefault="00EE0B13" w:rsidP="0099106E">
      <w:pPr>
        <w:bidi/>
        <w:spacing w:after="0" w:line="240" w:lineRule="auto"/>
        <w:rPr>
          <w:rFonts w:ascii="Traditional Arabic" w:eastAsia="Times New Roman" w:hAnsi="Traditional Arabic" w:cs="Traditional Arabic"/>
          <w:b/>
          <w:bCs/>
          <w:sz w:val="32"/>
          <w:szCs w:val="32"/>
        </w:rPr>
      </w:pPr>
      <w:r>
        <w:rPr>
          <w:rFonts w:ascii="Traditional Arabic" w:eastAsia="Times New Roman" w:hAnsi="Traditional Arabic" w:cs="Traditional Arabic"/>
          <w:b/>
          <w:bCs/>
          <w:sz w:val="32"/>
          <w:szCs w:val="32"/>
          <w:rtl/>
        </w:rPr>
        <w:t>خلاصة الفصل الأوّل</w:t>
      </w:r>
    </w:p>
    <w:p w14:paraId="7CA11010" w14:textId="77777777" w:rsidR="00EE0B13" w:rsidRPr="00EE0B13" w:rsidRDefault="00EE0B13"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خلص الفصل الأوّل إلى أنّ التوريق المصرفي أصبح من أهم الابتكارات المالية التي تحولت إلى ركيزة أساسية في إدارة المخاطر وتعبئة السيولة داخل البنوك الحديثة، خاصة في ظل التوسع الكبير للائتمان، وتشديد المعايير التنظيمية التي فرضتها اتفاقيات بازل. وقد بيّن الإطار المفاهيمي أنّ التوريق يقوم على تحويل الأصول الائتمانية غير السائلة إلى أوراق مالية قابلة للتداول، عبر نقلها إلى شركة ذات غرض خاص تتيح فصل المخاطر، وتوزيعها على </w:t>
      </w:r>
      <w:r>
        <w:rPr>
          <w:rFonts w:ascii="Traditional Arabic" w:eastAsia="Times New Roman" w:hAnsi="Traditional Arabic" w:cs="Traditional Arabic"/>
          <w:sz w:val="32"/>
          <w:szCs w:val="32"/>
          <w:rtl/>
        </w:rPr>
        <w:lastRenderedPageBreak/>
        <w:t>المستثمرين. كما أظهر التحليل أنّ نجاح العملية يرتبط بعدة شروط، أبرزها جودة الأصول، وجود إطار قانوني يسمح بنقل الملكية، توافر سوق مالية فعّالة، وإخضاع العملية للتصنيف الائتماني والشفافية</w:t>
      </w:r>
      <w:r>
        <w:rPr>
          <w:rFonts w:ascii="Traditional Arabic" w:eastAsia="Times New Roman" w:hAnsi="Traditional Arabic" w:cs="Traditional Arabic"/>
          <w:sz w:val="32"/>
          <w:szCs w:val="32"/>
        </w:rPr>
        <w:t>.</w:t>
      </w:r>
    </w:p>
    <w:p w14:paraId="49F22156" w14:textId="77777777" w:rsidR="00EE0B13" w:rsidRPr="00EE0B13" w:rsidRDefault="00EE0B13"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وأكّد الفصل كذلك على الدور المحوري للتوريق في تخفيض مخاطر الائتمان، وتقليص مخاطر السيولة، وإعادة هيكلة الأصول بما يتوافق مع متطلبات الملاءة، إضافة إلى مساهمته في تحسين المؤشرات التنظيمية للبنوك، خاصة فيما يتعلق بتغطية السيولة ونسب رأس المال وفقًا لبازل 2 وبازل 3. كما أظهر التحليل أنّ التوريق يمثل آلية فعالة لإعادة توزيع المخاطر بين الأطراف المالية، مما يمنح البنوك مرونة أكبر في إدارة محافظها، وقدرة أعلى على تمويل الاقتصاد</w:t>
      </w:r>
      <w:r>
        <w:rPr>
          <w:rFonts w:ascii="Traditional Arabic" w:eastAsia="Times New Roman" w:hAnsi="Traditional Arabic" w:cs="Traditional Arabic"/>
          <w:sz w:val="32"/>
          <w:szCs w:val="32"/>
        </w:rPr>
        <w:t>.</w:t>
      </w:r>
    </w:p>
    <w:p w14:paraId="68F5ACE4" w14:textId="77777777" w:rsidR="00EE0B13" w:rsidRPr="00EE0B13" w:rsidRDefault="00EE0B13" w:rsidP="0099106E">
      <w:pPr>
        <w:bidi/>
        <w:spacing w:after="0" w:line="240" w:lineRule="auto"/>
        <w:ind w:firstLine="720"/>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أما الدراسات السابقة، فقد بينت تنوع التوجّهات العلمية نحو التوريق، بين الدراسات التي تناولته كأداة لإدارة المخاطر، وتلك التي ركزت على دوره في الأزمات المالية، وأخرى اهتمت بالإطار القانوني والتشريعي، إضافة إلى دراسات ميدانية تخص واقع التوريق في البيئات العربية. وقد أظهرت هذه الدراسات أنّ التوريق يشكل أداة حيوية لتمويل القطاعات المختلفة، غير أنّ نجاحه يحتاج إلى إطار قانوني واضح، وبيئة مالية نشطة، ومؤسسات قادرة على إدارة هذا النوع من العمليات</w:t>
      </w:r>
      <w:r>
        <w:rPr>
          <w:rFonts w:ascii="Traditional Arabic" w:eastAsia="Times New Roman" w:hAnsi="Traditional Arabic" w:cs="Traditional Arabic"/>
          <w:sz w:val="32"/>
          <w:szCs w:val="32"/>
        </w:rPr>
        <w:t>.</w:t>
      </w:r>
    </w:p>
    <w:p w14:paraId="33F6A010" w14:textId="6295EDC7" w:rsidR="00EE0B13" w:rsidRPr="00242401" w:rsidRDefault="00242401" w:rsidP="00242401">
      <w:pPr>
        <w:pStyle w:val="Lgende"/>
        <w:bidi/>
        <w:rPr>
          <w:b w:val="0"/>
          <w:bCs w:val="0"/>
          <w:rtl/>
        </w:rPr>
      </w:pPr>
      <w:bookmarkStart w:id="4" w:name="_Toc231638644"/>
      <w:r w:rsidRPr="00242401">
        <w:rPr>
          <w:b w:val="0"/>
          <w:bCs w:val="0"/>
          <w:rtl/>
        </w:rPr>
        <w:t xml:space="preserve">جدول رقم </w:t>
      </w:r>
      <w:r w:rsidRPr="00242401">
        <w:rPr>
          <w:b w:val="0"/>
          <w:bCs w:val="0"/>
          <w:rtl/>
        </w:rPr>
        <w:fldChar w:fldCharType="begin"/>
      </w:r>
      <w:r w:rsidRPr="00242401">
        <w:rPr>
          <w:b w:val="0"/>
          <w:bCs w:val="0"/>
          <w:rtl/>
        </w:rPr>
        <w:instrText xml:space="preserve"> </w:instrText>
      </w:r>
      <w:r w:rsidRPr="00242401">
        <w:rPr>
          <w:b w:val="0"/>
          <w:bCs w:val="0"/>
        </w:rPr>
        <w:instrText>SEQ</w:instrText>
      </w:r>
      <w:r w:rsidRPr="00242401">
        <w:rPr>
          <w:b w:val="0"/>
          <w:bCs w:val="0"/>
          <w:rtl/>
        </w:rPr>
        <w:instrText xml:space="preserve"> جدول_رقم \* </w:instrText>
      </w:r>
      <w:r w:rsidRPr="00242401">
        <w:rPr>
          <w:b w:val="0"/>
          <w:bCs w:val="0"/>
        </w:rPr>
        <w:instrText>ARABIC</w:instrText>
      </w:r>
      <w:r w:rsidRPr="00242401">
        <w:rPr>
          <w:b w:val="0"/>
          <w:bCs w:val="0"/>
          <w:rtl/>
        </w:rPr>
        <w:instrText xml:space="preserve"> </w:instrText>
      </w:r>
      <w:r w:rsidRPr="00242401">
        <w:rPr>
          <w:b w:val="0"/>
          <w:bCs w:val="0"/>
          <w:rtl/>
        </w:rPr>
        <w:fldChar w:fldCharType="separate"/>
      </w:r>
      <w:r w:rsidR="00317D7C">
        <w:rPr>
          <w:b w:val="0"/>
          <w:bCs w:val="0"/>
          <w:noProof/>
          <w:rtl/>
        </w:rPr>
        <w:t>1</w:t>
      </w:r>
      <w:r w:rsidRPr="00242401">
        <w:rPr>
          <w:b w:val="0"/>
          <w:bCs w:val="0"/>
          <w:rtl/>
        </w:rPr>
        <w:fldChar w:fldCharType="end"/>
      </w:r>
      <w:r w:rsidRPr="00242401">
        <w:rPr>
          <w:b w:val="0"/>
          <w:bCs w:val="0"/>
          <w:noProof/>
          <w:lang w:val="fr-FR"/>
        </w:rPr>
        <w:t xml:space="preserve"> </w:t>
      </w:r>
      <w:r w:rsidRPr="00242401">
        <w:rPr>
          <w:rFonts w:cs="Arial"/>
          <w:b w:val="0"/>
          <w:bCs w:val="0"/>
          <w:noProof/>
          <w:rtl/>
          <w:lang w:val="fr-FR"/>
        </w:rPr>
        <w:t>مقارنة بين أنواع المخاطر المصرفية وآليات التوريق في التعامل معها</w:t>
      </w:r>
      <w:bookmarkEnd w:id="4"/>
    </w:p>
    <w:tbl>
      <w:tblPr>
        <w:tblStyle w:val="Grilledutableau6"/>
        <w:bidiVisual/>
        <w:tblW w:w="9350" w:type="dxa"/>
        <w:tblInd w:w="0" w:type="dxa"/>
        <w:tblLook w:val="04A0" w:firstRow="1" w:lastRow="0" w:firstColumn="1" w:lastColumn="0" w:noHBand="0" w:noVBand="1"/>
      </w:tblPr>
      <w:tblGrid>
        <w:gridCol w:w="2338"/>
        <w:gridCol w:w="3506"/>
        <w:gridCol w:w="3506"/>
      </w:tblGrid>
      <w:tr w:rsidR="00242401" w:rsidRPr="00242401" w14:paraId="0678A6FE" w14:textId="77777777" w:rsidTr="00242401">
        <w:tc>
          <w:tcPr>
            <w:tcW w:w="2338" w:type="dxa"/>
          </w:tcPr>
          <w:p w14:paraId="17675B9C" w14:textId="77777777" w:rsidR="00804E00" w:rsidRPr="00242401" w:rsidRDefault="000063E3">
            <w:pPr>
              <w:bidi/>
              <w:jc w:val="center"/>
              <w:rPr>
                <w:sz w:val="32"/>
                <w:szCs w:val="32"/>
              </w:rPr>
            </w:pPr>
            <w:r w:rsidRPr="00242401">
              <w:rPr>
                <w:rFonts w:ascii="Traditional Arabic" w:cs="Traditional Arabic"/>
                <w:b/>
                <w:bCs/>
                <w:sz w:val="32"/>
                <w:szCs w:val="32"/>
                <w:rtl/>
              </w:rPr>
              <w:t>نوع المخاطرة</w:t>
            </w:r>
          </w:p>
        </w:tc>
        <w:tc>
          <w:tcPr>
            <w:tcW w:w="3506" w:type="dxa"/>
          </w:tcPr>
          <w:p w14:paraId="73322252" w14:textId="77777777" w:rsidR="00804E00" w:rsidRPr="00242401" w:rsidRDefault="000063E3">
            <w:pPr>
              <w:bidi/>
              <w:jc w:val="center"/>
              <w:rPr>
                <w:sz w:val="32"/>
                <w:szCs w:val="32"/>
              </w:rPr>
            </w:pPr>
            <w:r w:rsidRPr="00242401">
              <w:rPr>
                <w:rFonts w:ascii="Traditional Arabic" w:cs="Traditional Arabic"/>
                <w:b/>
                <w:bCs/>
                <w:sz w:val="32"/>
                <w:szCs w:val="32"/>
                <w:rtl/>
              </w:rPr>
              <w:t>التعريف</w:t>
            </w:r>
          </w:p>
        </w:tc>
        <w:tc>
          <w:tcPr>
            <w:tcW w:w="3506" w:type="dxa"/>
          </w:tcPr>
          <w:p w14:paraId="655B9BE6" w14:textId="77777777" w:rsidR="00804E00" w:rsidRPr="00242401" w:rsidRDefault="000063E3">
            <w:pPr>
              <w:bidi/>
              <w:jc w:val="center"/>
              <w:rPr>
                <w:sz w:val="32"/>
                <w:szCs w:val="32"/>
              </w:rPr>
            </w:pPr>
            <w:r w:rsidRPr="00242401">
              <w:rPr>
                <w:rFonts w:ascii="Traditional Arabic" w:cs="Traditional Arabic"/>
                <w:b/>
                <w:bCs/>
                <w:sz w:val="32"/>
                <w:szCs w:val="32"/>
                <w:rtl/>
              </w:rPr>
              <w:t>دور التوريق في إدارتها</w:t>
            </w:r>
          </w:p>
        </w:tc>
      </w:tr>
      <w:tr w:rsidR="00242401" w:rsidRPr="00242401" w14:paraId="6FC1ECA0" w14:textId="77777777" w:rsidTr="00242401">
        <w:tc>
          <w:tcPr>
            <w:tcW w:w="2338" w:type="dxa"/>
          </w:tcPr>
          <w:p w14:paraId="5DAB08FB" w14:textId="77777777" w:rsidR="00804E00" w:rsidRPr="00242401" w:rsidRDefault="000063E3">
            <w:pPr>
              <w:bidi/>
              <w:rPr>
                <w:sz w:val="32"/>
                <w:szCs w:val="32"/>
              </w:rPr>
            </w:pPr>
            <w:r w:rsidRPr="00242401">
              <w:rPr>
                <w:rFonts w:ascii="Traditional Arabic" w:cs="Traditional Arabic"/>
                <w:b/>
                <w:bCs/>
                <w:sz w:val="32"/>
                <w:szCs w:val="32"/>
                <w:rtl/>
              </w:rPr>
              <w:t>مخاطر الائتمان</w:t>
            </w:r>
          </w:p>
        </w:tc>
        <w:tc>
          <w:tcPr>
            <w:tcW w:w="3506" w:type="dxa"/>
          </w:tcPr>
          <w:p w14:paraId="0584738F" w14:textId="77777777" w:rsidR="00804E00" w:rsidRPr="00242401" w:rsidRDefault="000063E3">
            <w:pPr>
              <w:bidi/>
              <w:rPr>
                <w:sz w:val="32"/>
                <w:szCs w:val="32"/>
              </w:rPr>
            </w:pPr>
            <w:r w:rsidRPr="00242401">
              <w:rPr>
                <w:rFonts w:ascii="Traditional Arabic" w:cs="Traditional Arabic"/>
                <w:sz w:val="32"/>
                <w:szCs w:val="32"/>
                <w:rtl/>
              </w:rPr>
              <w:t>احتمال عجز المقترض عن السداد</w:t>
            </w:r>
          </w:p>
        </w:tc>
        <w:tc>
          <w:tcPr>
            <w:tcW w:w="3506" w:type="dxa"/>
          </w:tcPr>
          <w:p w14:paraId="4551D76B" w14:textId="77777777" w:rsidR="00804E00" w:rsidRPr="00242401" w:rsidRDefault="000063E3">
            <w:pPr>
              <w:bidi/>
              <w:rPr>
                <w:sz w:val="32"/>
                <w:szCs w:val="32"/>
              </w:rPr>
            </w:pPr>
            <w:r w:rsidRPr="00242401">
              <w:rPr>
                <w:rFonts w:ascii="Traditional Arabic" w:cs="Traditional Arabic"/>
                <w:sz w:val="32"/>
                <w:szCs w:val="32"/>
                <w:rtl/>
              </w:rPr>
              <w:t>نقل المخاطر إلى المستثمرين عبر SPV</w:t>
            </w:r>
          </w:p>
        </w:tc>
      </w:tr>
      <w:tr w:rsidR="00242401" w:rsidRPr="00242401" w14:paraId="01D88DE2" w14:textId="77777777" w:rsidTr="00242401">
        <w:tc>
          <w:tcPr>
            <w:tcW w:w="2338" w:type="dxa"/>
          </w:tcPr>
          <w:p w14:paraId="7D9F9E46" w14:textId="77777777" w:rsidR="00804E00" w:rsidRPr="00242401" w:rsidRDefault="000063E3">
            <w:pPr>
              <w:bidi/>
              <w:rPr>
                <w:sz w:val="32"/>
                <w:szCs w:val="32"/>
              </w:rPr>
            </w:pPr>
            <w:r w:rsidRPr="00242401">
              <w:rPr>
                <w:rFonts w:ascii="Traditional Arabic" w:cs="Traditional Arabic"/>
                <w:b/>
                <w:bCs/>
                <w:sz w:val="32"/>
                <w:szCs w:val="32"/>
                <w:rtl/>
              </w:rPr>
              <w:t>مخاطر السيولة</w:t>
            </w:r>
          </w:p>
        </w:tc>
        <w:tc>
          <w:tcPr>
            <w:tcW w:w="3506" w:type="dxa"/>
          </w:tcPr>
          <w:p w14:paraId="6F87CFD9" w14:textId="77777777" w:rsidR="00804E00" w:rsidRPr="00242401" w:rsidRDefault="000063E3">
            <w:pPr>
              <w:bidi/>
              <w:rPr>
                <w:sz w:val="32"/>
                <w:szCs w:val="32"/>
              </w:rPr>
            </w:pPr>
            <w:r w:rsidRPr="00242401">
              <w:rPr>
                <w:rFonts w:ascii="Traditional Arabic" w:cs="Traditional Arabic"/>
                <w:sz w:val="32"/>
                <w:szCs w:val="32"/>
                <w:rtl/>
              </w:rPr>
              <w:t>عدم القدرة على تحويل الأصول إلى سيولة</w:t>
            </w:r>
          </w:p>
        </w:tc>
        <w:tc>
          <w:tcPr>
            <w:tcW w:w="3506" w:type="dxa"/>
          </w:tcPr>
          <w:p w14:paraId="483DB1BD" w14:textId="77777777" w:rsidR="00804E00" w:rsidRPr="00242401" w:rsidRDefault="000063E3">
            <w:pPr>
              <w:bidi/>
              <w:rPr>
                <w:sz w:val="32"/>
                <w:szCs w:val="32"/>
              </w:rPr>
            </w:pPr>
            <w:r w:rsidRPr="00242401">
              <w:rPr>
                <w:rFonts w:ascii="Traditional Arabic" w:cs="Traditional Arabic"/>
                <w:sz w:val="32"/>
                <w:szCs w:val="32"/>
                <w:rtl/>
              </w:rPr>
              <w:t>تحويل الأصول غير السائلة إلى أوراق مالية قابلة للتداول</w:t>
            </w:r>
          </w:p>
        </w:tc>
      </w:tr>
      <w:tr w:rsidR="00242401" w:rsidRPr="00242401" w14:paraId="39494CF0" w14:textId="77777777" w:rsidTr="00242401">
        <w:tc>
          <w:tcPr>
            <w:tcW w:w="2338" w:type="dxa"/>
          </w:tcPr>
          <w:p w14:paraId="6BC7D1FE" w14:textId="77777777" w:rsidR="00804E00" w:rsidRPr="00242401" w:rsidRDefault="000063E3">
            <w:pPr>
              <w:bidi/>
              <w:rPr>
                <w:sz w:val="32"/>
                <w:szCs w:val="32"/>
              </w:rPr>
            </w:pPr>
            <w:r w:rsidRPr="00242401">
              <w:rPr>
                <w:rFonts w:ascii="Traditional Arabic" w:cs="Traditional Arabic"/>
                <w:b/>
                <w:bCs/>
                <w:sz w:val="32"/>
                <w:szCs w:val="32"/>
                <w:rtl/>
              </w:rPr>
              <w:t>مخاطر رأس المال</w:t>
            </w:r>
          </w:p>
        </w:tc>
        <w:tc>
          <w:tcPr>
            <w:tcW w:w="3506" w:type="dxa"/>
          </w:tcPr>
          <w:p w14:paraId="6BCFF4A2" w14:textId="77777777" w:rsidR="00804E00" w:rsidRPr="00242401" w:rsidRDefault="000063E3">
            <w:pPr>
              <w:bidi/>
              <w:rPr>
                <w:sz w:val="32"/>
                <w:szCs w:val="32"/>
              </w:rPr>
            </w:pPr>
            <w:r w:rsidRPr="00242401">
              <w:rPr>
                <w:rFonts w:ascii="Traditional Arabic" w:cs="Traditional Arabic"/>
                <w:sz w:val="32"/>
                <w:szCs w:val="32"/>
                <w:rtl/>
              </w:rPr>
              <w:t>عدم الامتثال لمعايير كفاية رأس المال (بازل)</w:t>
            </w:r>
          </w:p>
        </w:tc>
        <w:tc>
          <w:tcPr>
            <w:tcW w:w="3506" w:type="dxa"/>
          </w:tcPr>
          <w:p w14:paraId="23E8E942" w14:textId="77777777" w:rsidR="00804E00" w:rsidRPr="00242401" w:rsidRDefault="000063E3">
            <w:pPr>
              <w:bidi/>
              <w:rPr>
                <w:sz w:val="32"/>
                <w:szCs w:val="32"/>
              </w:rPr>
            </w:pPr>
            <w:r w:rsidRPr="00242401">
              <w:rPr>
                <w:rFonts w:ascii="Traditional Arabic" w:cs="Traditional Arabic"/>
                <w:sz w:val="32"/>
                <w:szCs w:val="32"/>
                <w:rtl/>
              </w:rPr>
              <w:t>تخفيض RWA وتحسين نسبة CAR</w:t>
            </w:r>
          </w:p>
        </w:tc>
      </w:tr>
      <w:tr w:rsidR="00242401" w:rsidRPr="00242401" w14:paraId="372A6A95" w14:textId="77777777" w:rsidTr="00242401">
        <w:tc>
          <w:tcPr>
            <w:tcW w:w="2338" w:type="dxa"/>
          </w:tcPr>
          <w:p w14:paraId="4C19635C" w14:textId="77777777" w:rsidR="00804E00" w:rsidRPr="00242401" w:rsidRDefault="000063E3">
            <w:pPr>
              <w:bidi/>
              <w:rPr>
                <w:sz w:val="32"/>
                <w:szCs w:val="32"/>
              </w:rPr>
            </w:pPr>
            <w:r w:rsidRPr="00242401">
              <w:rPr>
                <w:rFonts w:ascii="Traditional Arabic" w:cs="Traditional Arabic"/>
                <w:b/>
                <w:bCs/>
                <w:sz w:val="32"/>
                <w:szCs w:val="32"/>
                <w:rtl/>
              </w:rPr>
              <w:t>مخاطر السوق</w:t>
            </w:r>
          </w:p>
        </w:tc>
        <w:tc>
          <w:tcPr>
            <w:tcW w:w="3506" w:type="dxa"/>
          </w:tcPr>
          <w:p w14:paraId="0505A7E7" w14:textId="77777777" w:rsidR="00804E00" w:rsidRPr="00242401" w:rsidRDefault="000063E3">
            <w:pPr>
              <w:bidi/>
              <w:rPr>
                <w:sz w:val="32"/>
                <w:szCs w:val="32"/>
              </w:rPr>
            </w:pPr>
            <w:r w:rsidRPr="00242401">
              <w:rPr>
                <w:rFonts w:ascii="Traditional Arabic" w:cs="Traditional Arabic"/>
                <w:sz w:val="32"/>
                <w:szCs w:val="32"/>
                <w:rtl/>
              </w:rPr>
              <w:t>تقلبات أسعار الفائدة والصرف</w:t>
            </w:r>
          </w:p>
        </w:tc>
        <w:tc>
          <w:tcPr>
            <w:tcW w:w="3506" w:type="dxa"/>
          </w:tcPr>
          <w:p w14:paraId="4506F679" w14:textId="77777777" w:rsidR="00804E00" w:rsidRPr="00242401" w:rsidRDefault="000063E3">
            <w:pPr>
              <w:bidi/>
              <w:rPr>
                <w:sz w:val="32"/>
                <w:szCs w:val="32"/>
              </w:rPr>
            </w:pPr>
            <w:r w:rsidRPr="00242401">
              <w:rPr>
                <w:rFonts w:ascii="Traditional Arabic" w:cs="Traditional Arabic"/>
                <w:sz w:val="32"/>
                <w:szCs w:val="32"/>
                <w:rtl/>
              </w:rPr>
              <w:t>توزيع المخاطر على قاعدة واسعة من المستثمرين</w:t>
            </w:r>
          </w:p>
        </w:tc>
      </w:tr>
    </w:tbl>
    <w:p w14:paraId="71479BCF" w14:textId="77777777" w:rsidR="00EE0B13" w:rsidRPr="00242401" w:rsidRDefault="00EE0B13" w:rsidP="0099106E">
      <w:pPr>
        <w:bidi/>
        <w:spacing w:after="100" w:line="240" w:lineRule="auto"/>
        <w:jc w:val="center"/>
        <w:rPr>
          <w:rFonts w:ascii="Traditional Arabic" w:cs="Traditional Arabic"/>
          <w:sz w:val="28"/>
          <w:szCs w:val="28"/>
        </w:rPr>
      </w:pPr>
      <w:r w:rsidRPr="00242401">
        <w:rPr>
          <w:rFonts w:ascii="Traditional Arabic" w:cs="Traditional Arabic"/>
          <w:sz w:val="28"/>
          <w:szCs w:val="28"/>
          <w:rtl/>
        </w:rPr>
        <w:t>المصدر: من إعداد الطالب بناءً على أدبيات إدارة المخاطر المصرفية اعتماداً على التقرير</w:t>
      </w:r>
    </w:p>
    <w:p w14:paraId="6331518D" w14:textId="67C68E1D" w:rsidR="00EE0B13" w:rsidRPr="00242401" w:rsidRDefault="00242401" w:rsidP="00242401">
      <w:pPr>
        <w:pStyle w:val="Lgende"/>
        <w:bidi/>
        <w:rPr>
          <w:b w:val="0"/>
          <w:bCs w:val="0"/>
          <w:rtl/>
        </w:rPr>
      </w:pPr>
      <w:bookmarkStart w:id="5" w:name="_Toc231638645"/>
      <w:r w:rsidRPr="00242401">
        <w:rPr>
          <w:b w:val="0"/>
          <w:bCs w:val="0"/>
          <w:rtl/>
        </w:rPr>
        <w:t xml:space="preserve">جدول رقم </w:t>
      </w:r>
      <w:r w:rsidRPr="00242401">
        <w:rPr>
          <w:b w:val="0"/>
          <w:bCs w:val="0"/>
          <w:rtl/>
        </w:rPr>
        <w:fldChar w:fldCharType="begin"/>
      </w:r>
      <w:r w:rsidRPr="00242401">
        <w:rPr>
          <w:b w:val="0"/>
          <w:bCs w:val="0"/>
          <w:rtl/>
        </w:rPr>
        <w:instrText xml:space="preserve"> </w:instrText>
      </w:r>
      <w:r w:rsidRPr="00242401">
        <w:rPr>
          <w:b w:val="0"/>
          <w:bCs w:val="0"/>
        </w:rPr>
        <w:instrText>SEQ</w:instrText>
      </w:r>
      <w:r w:rsidRPr="00242401">
        <w:rPr>
          <w:b w:val="0"/>
          <w:bCs w:val="0"/>
          <w:rtl/>
        </w:rPr>
        <w:instrText xml:space="preserve"> جدول_رقم \* </w:instrText>
      </w:r>
      <w:r w:rsidRPr="00242401">
        <w:rPr>
          <w:b w:val="0"/>
          <w:bCs w:val="0"/>
        </w:rPr>
        <w:instrText>ARABIC</w:instrText>
      </w:r>
      <w:r w:rsidRPr="00242401">
        <w:rPr>
          <w:b w:val="0"/>
          <w:bCs w:val="0"/>
          <w:rtl/>
        </w:rPr>
        <w:instrText xml:space="preserve"> </w:instrText>
      </w:r>
      <w:r w:rsidRPr="00242401">
        <w:rPr>
          <w:b w:val="0"/>
          <w:bCs w:val="0"/>
          <w:rtl/>
        </w:rPr>
        <w:fldChar w:fldCharType="separate"/>
      </w:r>
      <w:r w:rsidR="00317D7C">
        <w:rPr>
          <w:b w:val="0"/>
          <w:bCs w:val="0"/>
          <w:noProof/>
          <w:rtl/>
        </w:rPr>
        <w:t>2</w:t>
      </w:r>
      <w:r w:rsidRPr="00242401">
        <w:rPr>
          <w:b w:val="0"/>
          <w:bCs w:val="0"/>
          <w:rtl/>
        </w:rPr>
        <w:fldChar w:fldCharType="end"/>
      </w:r>
      <w:r w:rsidRPr="00242401">
        <w:rPr>
          <w:b w:val="0"/>
          <w:bCs w:val="0"/>
          <w:noProof/>
          <w:lang w:val="fr-FR"/>
        </w:rPr>
        <w:t xml:space="preserve"> </w:t>
      </w:r>
      <w:r w:rsidRPr="00242401">
        <w:rPr>
          <w:b w:val="0"/>
          <w:bCs w:val="0"/>
          <w:noProof/>
          <w:rtl/>
          <w:lang w:val="fr-FR"/>
        </w:rPr>
        <w:t>مراحل عملية التوريق المصرفي ومشاركو كل مرحلة</w:t>
      </w:r>
      <w:bookmarkEnd w:id="5"/>
    </w:p>
    <w:tbl>
      <w:tblPr>
        <w:tblStyle w:val="Grilledutableau6"/>
        <w:bidiVisual/>
        <w:tblW w:w="9350" w:type="dxa"/>
        <w:tblInd w:w="0" w:type="dxa"/>
        <w:tblLook w:val="04A0" w:firstRow="1" w:lastRow="0" w:firstColumn="1" w:lastColumn="0" w:noHBand="0" w:noVBand="1"/>
      </w:tblPr>
      <w:tblGrid>
        <w:gridCol w:w="780"/>
        <w:gridCol w:w="2730"/>
        <w:gridCol w:w="2920"/>
        <w:gridCol w:w="2920"/>
      </w:tblGrid>
      <w:tr w:rsidR="00242401" w:rsidRPr="00242401" w14:paraId="3877A549" w14:textId="77777777" w:rsidTr="00242401">
        <w:tc>
          <w:tcPr>
            <w:tcW w:w="780" w:type="dxa"/>
          </w:tcPr>
          <w:p w14:paraId="76128A13" w14:textId="77777777" w:rsidR="00804E00" w:rsidRPr="00242401" w:rsidRDefault="000063E3">
            <w:pPr>
              <w:bidi/>
              <w:jc w:val="center"/>
              <w:rPr>
                <w:sz w:val="32"/>
                <w:szCs w:val="32"/>
              </w:rPr>
            </w:pPr>
            <w:r w:rsidRPr="00242401">
              <w:rPr>
                <w:rFonts w:ascii="Traditional Arabic" w:cs="Traditional Arabic"/>
                <w:b/>
                <w:bCs/>
                <w:sz w:val="32"/>
                <w:szCs w:val="32"/>
                <w:rtl/>
              </w:rPr>
              <w:t>#</w:t>
            </w:r>
          </w:p>
        </w:tc>
        <w:tc>
          <w:tcPr>
            <w:tcW w:w="2730" w:type="dxa"/>
          </w:tcPr>
          <w:p w14:paraId="404804C5" w14:textId="77777777" w:rsidR="00804E00" w:rsidRPr="00242401" w:rsidRDefault="000063E3">
            <w:pPr>
              <w:bidi/>
              <w:jc w:val="center"/>
              <w:rPr>
                <w:sz w:val="32"/>
                <w:szCs w:val="32"/>
              </w:rPr>
            </w:pPr>
            <w:r w:rsidRPr="00242401">
              <w:rPr>
                <w:rFonts w:ascii="Traditional Arabic" w:cs="Traditional Arabic"/>
                <w:b/>
                <w:bCs/>
                <w:sz w:val="32"/>
                <w:szCs w:val="32"/>
                <w:rtl/>
              </w:rPr>
              <w:t>المرحلة</w:t>
            </w:r>
          </w:p>
        </w:tc>
        <w:tc>
          <w:tcPr>
            <w:tcW w:w="2920" w:type="dxa"/>
          </w:tcPr>
          <w:p w14:paraId="25EBDBCD" w14:textId="77777777" w:rsidR="00804E00" w:rsidRPr="00242401" w:rsidRDefault="000063E3">
            <w:pPr>
              <w:bidi/>
              <w:jc w:val="center"/>
              <w:rPr>
                <w:sz w:val="32"/>
                <w:szCs w:val="32"/>
              </w:rPr>
            </w:pPr>
            <w:r w:rsidRPr="00242401">
              <w:rPr>
                <w:rFonts w:ascii="Traditional Arabic" w:cs="Traditional Arabic"/>
                <w:b/>
                <w:bCs/>
                <w:sz w:val="32"/>
                <w:szCs w:val="32"/>
                <w:rtl/>
              </w:rPr>
              <w:t>الوصف</w:t>
            </w:r>
          </w:p>
        </w:tc>
        <w:tc>
          <w:tcPr>
            <w:tcW w:w="2920" w:type="dxa"/>
          </w:tcPr>
          <w:p w14:paraId="645BFFF7" w14:textId="77777777" w:rsidR="00804E00" w:rsidRPr="00242401" w:rsidRDefault="000063E3">
            <w:pPr>
              <w:bidi/>
              <w:jc w:val="center"/>
              <w:rPr>
                <w:sz w:val="32"/>
                <w:szCs w:val="32"/>
              </w:rPr>
            </w:pPr>
            <w:r w:rsidRPr="00242401">
              <w:rPr>
                <w:rFonts w:ascii="Traditional Arabic" w:cs="Traditional Arabic"/>
                <w:b/>
                <w:bCs/>
                <w:sz w:val="32"/>
                <w:szCs w:val="32"/>
                <w:rtl/>
              </w:rPr>
              <w:t>الأطراف المشاركة</w:t>
            </w:r>
          </w:p>
        </w:tc>
      </w:tr>
      <w:tr w:rsidR="00242401" w:rsidRPr="00242401" w14:paraId="6F614466" w14:textId="77777777" w:rsidTr="00242401">
        <w:tc>
          <w:tcPr>
            <w:tcW w:w="780" w:type="dxa"/>
          </w:tcPr>
          <w:p w14:paraId="610CB357" w14:textId="77777777" w:rsidR="00804E00" w:rsidRPr="00242401" w:rsidRDefault="000063E3">
            <w:pPr>
              <w:bidi/>
              <w:jc w:val="center"/>
              <w:rPr>
                <w:sz w:val="32"/>
                <w:szCs w:val="32"/>
              </w:rPr>
            </w:pPr>
            <w:r w:rsidRPr="00242401">
              <w:rPr>
                <w:rFonts w:ascii="Traditional Arabic" w:cs="Traditional Arabic"/>
                <w:b/>
                <w:bCs/>
                <w:sz w:val="32"/>
                <w:szCs w:val="32"/>
                <w:rtl/>
              </w:rPr>
              <w:t>1</w:t>
            </w:r>
          </w:p>
        </w:tc>
        <w:tc>
          <w:tcPr>
            <w:tcW w:w="2730" w:type="dxa"/>
          </w:tcPr>
          <w:p w14:paraId="3F48F7EF" w14:textId="77777777" w:rsidR="00804E00" w:rsidRPr="00242401" w:rsidRDefault="000063E3">
            <w:pPr>
              <w:bidi/>
              <w:rPr>
                <w:sz w:val="32"/>
                <w:szCs w:val="32"/>
              </w:rPr>
            </w:pPr>
            <w:r w:rsidRPr="00242401">
              <w:rPr>
                <w:rFonts w:ascii="Traditional Arabic" w:cs="Traditional Arabic"/>
                <w:sz w:val="32"/>
                <w:szCs w:val="32"/>
                <w:rtl/>
              </w:rPr>
              <w:t>تجميع الأصول (</w:t>
            </w:r>
            <w:proofErr w:type="spellStart"/>
            <w:r w:rsidRPr="00242401">
              <w:rPr>
                <w:rFonts w:ascii="Traditional Arabic" w:cs="Traditional Arabic"/>
                <w:sz w:val="32"/>
                <w:szCs w:val="32"/>
                <w:rtl/>
              </w:rPr>
              <w:t>Pooling</w:t>
            </w:r>
            <w:proofErr w:type="spellEnd"/>
            <w:r w:rsidRPr="00242401">
              <w:rPr>
                <w:rFonts w:ascii="Traditional Arabic" w:cs="Traditional Arabic"/>
                <w:sz w:val="32"/>
                <w:szCs w:val="32"/>
                <w:rtl/>
              </w:rPr>
              <w:t>)</w:t>
            </w:r>
          </w:p>
        </w:tc>
        <w:tc>
          <w:tcPr>
            <w:tcW w:w="2920" w:type="dxa"/>
          </w:tcPr>
          <w:p w14:paraId="6D5C51CE" w14:textId="77777777" w:rsidR="00804E00" w:rsidRPr="00242401" w:rsidRDefault="000063E3">
            <w:pPr>
              <w:bidi/>
              <w:rPr>
                <w:sz w:val="32"/>
                <w:szCs w:val="32"/>
              </w:rPr>
            </w:pPr>
            <w:r w:rsidRPr="00242401">
              <w:rPr>
                <w:rFonts w:ascii="Traditional Arabic" w:cs="Traditional Arabic"/>
                <w:sz w:val="32"/>
                <w:szCs w:val="32"/>
                <w:rtl/>
              </w:rPr>
              <w:t>تحديد وتجميع المحفظة الائتمانية</w:t>
            </w:r>
          </w:p>
        </w:tc>
        <w:tc>
          <w:tcPr>
            <w:tcW w:w="2920" w:type="dxa"/>
          </w:tcPr>
          <w:p w14:paraId="09BB3EB4" w14:textId="77777777" w:rsidR="00804E00" w:rsidRPr="00242401" w:rsidRDefault="000063E3">
            <w:pPr>
              <w:bidi/>
              <w:rPr>
                <w:sz w:val="32"/>
                <w:szCs w:val="32"/>
              </w:rPr>
            </w:pPr>
            <w:r w:rsidRPr="00242401">
              <w:rPr>
                <w:rFonts w:ascii="Traditional Arabic" w:cs="Traditional Arabic"/>
                <w:sz w:val="32"/>
                <w:szCs w:val="32"/>
                <w:rtl/>
              </w:rPr>
              <w:t>البنك المنشئ</w:t>
            </w:r>
          </w:p>
        </w:tc>
      </w:tr>
      <w:tr w:rsidR="00242401" w:rsidRPr="00242401" w14:paraId="7BC978D1" w14:textId="77777777" w:rsidTr="00242401">
        <w:tc>
          <w:tcPr>
            <w:tcW w:w="780" w:type="dxa"/>
          </w:tcPr>
          <w:p w14:paraId="0189E210" w14:textId="77777777" w:rsidR="00804E00" w:rsidRPr="00242401" w:rsidRDefault="000063E3">
            <w:pPr>
              <w:bidi/>
              <w:jc w:val="center"/>
              <w:rPr>
                <w:sz w:val="32"/>
                <w:szCs w:val="32"/>
              </w:rPr>
            </w:pPr>
            <w:r w:rsidRPr="00242401">
              <w:rPr>
                <w:rFonts w:ascii="Traditional Arabic" w:cs="Traditional Arabic"/>
                <w:b/>
                <w:bCs/>
                <w:sz w:val="32"/>
                <w:szCs w:val="32"/>
                <w:rtl/>
              </w:rPr>
              <w:t>2</w:t>
            </w:r>
          </w:p>
        </w:tc>
        <w:tc>
          <w:tcPr>
            <w:tcW w:w="2730" w:type="dxa"/>
          </w:tcPr>
          <w:p w14:paraId="21B22D99" w14:textId="77777777" w:rsidR="00804E00" w:rsidRPr="00242401" w:rsidRDefault="000063E3">
            <w:pPr>
              <w:bidi/>
              <w:rPr>
                <w:sz w:val="32"/>
                <w:szCs w:val="32"/>
              </w:rPr>
            </w:pPr>
            <w:r w:rsidRPr="00242401">
              <w:rPr>
                <w:rFonts w:ascii="Traditional Arabic" w:cs="Traditional Arabic"/>
                <w:sz w:val="32"/>
                <w:szCs w:val="32"/>
                <w:rtl/>
              </w:rPr>
              <w:t>نقل الملكية إلى SPV</w:t>
            </w:r>
          </w:p>
        </w:tc>
        <w:tc>
          <w:tcPr>
            <w:tcW w:w="2920" w:type="dxa"/>
          </w:tcPr>
          <w:p w14:paraId="4B8BF962" w14:textId="77777777" w:rsidR="00804E00" w:rsidRPr="00242401" w:rsidRDefault="000063E3">
            <w:pPr>
              <w:bidi/>
              <w:rPr>
                <w:sz w:val="32"/>
                <w:szCs w:val="32"/>
              </w:rPr>
            </w:pPr>
            <w:r w:rsidRPr="00242401">
              <w:rPr>
                <w:rFonts w:ascii="Traditional Arabic" w:cs="Traditional Arabic"/>
                <w:sz w:val="32"/>
                <w:szCs w:val="32"/>
                <w:rtl/>
              </w:rPr>
              <w:t>عزل الأصول عن الميزانية</w:t>
            </w:r>
          </w:p>
        </w:tc>
        <w:tc>
          <w:tcPr>
            <w:tcW w:w="2920" w:type="dxa"/>
          </w:tcPr>
          <w:p w14:paraId="53EB0FC9" w14:textId="77777777" w:rsidR="00804E00" w:rsidRPr="00242401" w:rsidRDefault="000063E3">
            <w:pPr>
              <w:bidi/>
              <w:rPr>
                <w:sz w:val="32"/>
                <w:szCs w:val="32"/>
              </w:rPr>
            </w:pPr>
            <w:r w:rsidRPr="00242401">
              <w:rPr>
                <w:rFonts w:ascii="Traditional Arabic" w:cs="Traditional Arabic"/>
                <w:sz w:val="32"/>
                <w:szCs w:val="32"/>
                <w:rtl/>
              </w:rPr>
              <w:t>البنك + شركة الغرض الخاص (SPV)</w:t>
            </w:r>
          </w:p>
        </w:tc>
      </w:tr>
      <w:tr w:rsidR="00242401" w:rsidRPr="00242401" w14:paraId="6C405095" w14:textId="77777777" w:rsidTr="00242401">
        <w:tc>
          <w:tcPr>
            <w:tcW w:w="780" w:type="dxa"/>
          </w:tcPr>
          <w:p w14:paraId="7B2CF238" w14:textId="77777777" w:rsidR="00804E00" w:rsidRPr="00242401" w:rsidRDefault="000063E3">
            <w:pPr>
              <w:bidi/>
              <w:jc w:val="center"/>
              <w:rPr>
                <w:sz w:val="32"/>
                <w:szCs w:val="32"/>
              </w:rPr>
            </w:pPr>
            <w:r w:rsidRPr="00242401">
              <w:rPr>
                <w:rFonts w:ascii="Traditional Arabic" w:cs="Traditional Arabic"/>
                <w:b/>
                <w:bCs/>
                <w:sz w:val="32"/>
                <w:szCs w:val="32"/>
                <w:rtl/>
              </w:rPr>
              <w:t>3</w:t>
            </w:r>
          </w:p>
        </w:tc>
        <w:tc>
          <w:tcPr>
            <w:tcW w:w="2730" w:type="dxa"/>
          </w:tcPr>
          <w:p w14:paraId="065537C6" w14:textId="77777777" w:rsidR="00804E00" w:rsidRPr="00242401" w:rsidRDefault="000063E3">
            <w:pPr>
              <w:bidi/>
              <w:rPr>
                <w:sz w:val="32"/>
                <w:szCs w:val="32"/>
              </w:rPr>
            </w:pPr>
            <w:r w:rsidRPr="00242401">
              <w:rPr>
                <w:rFonts w:ascii="Traditional Arabic" w:cs="Traditional Arabic"/>
                <w:sz w:val="32"/>
                <w:szCs w:val="32"/>
                <w:rtl/>
              </w:rPr>
              <w:t>التصنيف الائتماني</w:t>
            </w:r>
          </w:p>
        </w:tc>
        <w:tc>
          <w:tcPr>
            <w:tcW w:w="2920" w:type="dxa"/>
          </w:tcPr>
          <w:p w14:paraId="0E4949ED" w14:textId="77777777" w:rsidR="00804E00" w:rsidRPr="00242401" w:rsidRDefault="000063E3">
            <w:pPr>
              <w:bidi/>
              <w:rPr>
                <w:sz w:val="32"/>
                <w:szCs w:val="32"/>
              </w:rPr>
            </w:pPr>
            <w:r w:rsidRPr="00242401">
              <w:rPr>
                <w:rFonts w:ascii="Traditional Arabic" w:cs="Traditional Arabic"/>
                <w:sz w:val="32"/>
                <w:szCs w:val="32"/>
                <w:rtl/>
              </w:rPr>
              <w:t>تقييم جودة الأوراق المصدرة</w:t>
            </w:r>
          </w:p>
        </w:tc>
        <w:tc>
          <w:tcPr>
            <w:tcW w:w="2920" w:type="dxa"/>
          </w:tcPr>
          <w:p w14:paraId="2CA5B5E8" w14:textId="77777777" w:rsidR="00804E00" w:rsidRPr="00242401" w:rsidRDefault="000063E3">
            <w:pPr>
              <w:bidi/>
              <w:rPr>
                <w:sz w:val="32"/>
                <w:szCs w:val="32"/>
              </w:rPr>
            </w:pPr>
            <w:r w:rsidRPr="00242401">
              <w:rPr>
                <w:rFonts w:ascii="Traditional Arabic" w:cs="Traditional Arabic"/>
                <w:sz w:val="32"/>
                <w:szCs w:val="32"/>
                <w:rtl/>
              </w:rPr>
              <w:t>وكالة التصنيف الائتماني</w:t>
            </w:r>
          </w:p>
        </w:tc>
      </w:tr>
      <w:tr w:rsidR="00242401" w:rsidRPr="00242401" w14:paraId="71A87EBE" w14:textId="77777777" w:rsidTr="00242401">
        <w:tc>
          <w:tcPr>
            <w:tcW w:w="780" w:type="dxa"/>
          </w:tcPr>
          <w:p w14:paraId="7A605305" w14:textId="77777777" w:rsidR="00804E00" w:rsidRPr="00242401" w:rsidRDefault="000063E3">
            <w:pPr>
              <w:bidi/>
              <w:jc w:val="center"/>
              <w:rPr>
                <w:sz w:val="32"/>
                <w:szCs w:val="32"/>
              </w:rPr>
            </w:pPr>
            <w:r w:rsidRPr="00242401">
              <w:rPr>
                <w:rFonts w:ascii="Traditional Arabic" w:cs="Traditional Arabic"/>
                <w:b/>
                <w:bCs/>
                <w:sz w:val="32"/>
                <w:szCs w:val="32"/>
                <w:rtl/>
              </w:rPr>
              <w:lastRenderedPageBreak/>
              <w:t>4</w:t>
            </w:r>
          </w:p>
        </w:tc>
        <w:tc>
          <w:tcPr>
            <w:tcW w:w="2730" w:type="dxa"/>
          </w:tcPr>
          <w:p w14:paraId="5C5DE06C" w14:textId="77777777" w:rsidR="00804E00" w:rsidRPr="00242401" w:rsidRDefault="000063E3">
            <w:pPr>
              <w:bidi/>
              <w:rPr>
                <w:sz w:val="32"/>
                <w:szCs w:val="32"/>
              </w:rPr>
            </w:pPr>
            <w:r w:rsidRPr="00242401">
              <w:rPr>
                <w:rFonts w:ascii="Traditional Arabic" w:cs="Traditional Arabic"/>
                <w:sz w:val="32"/>
                <w:szCs w:val="32"/>
                <w:rtl/>
              </w:rPr>
              <w:t>إصدار وبيع الأوراق المالية</w:t>
            </w:r>
          </w:p>
        </w:tc>
        <w:tc>
          <w:tcPr>
            <w:tcW w:w="2920" w:type="dxa"/>
          </w:tcPr>
          <w:p w14:paraId="187787F2" w14:textId="77777777" w:rsidR="00804E00" w:rsidRPr="00242401" w:rsidRDefault="000063E3">
            <w:pPr>
              <w:bidi/>
              <w:rPr>
                <w:sz w:val="32"/>
                <w:szCs w:val="32"/>
              </w:rPr>
            </w:pPr>
            <w:r w:rsidRPr="00242401">
              <w:rPr>
                <w:rFonts w:ascii="Traditional Arabic" w:cs="Traditional Arabic"/>
                <w:sz w:val="32"/>
                <w:szCs w:val="32"/>
                <w:rtl/>
              </w:rPr>
              <w:t>طرح ABS/MBS للمستثمرين</w:t>
            </w:r>
          </w:p>
        </w:tc>
        <w:tc>
          <w:tcPr>
            <w:tcW w:w="2920" w:type="dxa"/>
          </w:tcPr>
          <w:p w14:paraId="3CA71A4B" w14:textId="77777777" w:rsidR="00804E00" w:rsidRPr="00242401" w:rsidRDefault="000063E3">
            <w:pPr>
              <w:bidi/>
              <w:rPr>
                <w:sz w:val="32"/>
                <w:szCs w:val="32"/>
              </w:rPr>
            </w:pPr>
            <w:r w:rsidRPr="00242401">
              <w:rPr>
                <w:rFonts w:ascii="Traditional Arabic" w:cs="Traditional Arabic"/>
                <w:sz w:val="32"/>
                <w:szCs w:val="32"/>
                <w:rtl/>
              </w:rPr>
              <w:t>مدير الإصدار + المستثمرون</w:t>
            </w:r>
          </w:p>
        </w:tc>
      </w:tr>
    </w:tbl>
    <w:p w14:paraId="68133482" w14:textId="77777777" w:rsidR="00EE0B13" w:rsidRPr="00242401" w:rsidRDefault="00EE0B13" w:rsidP="0099106E">
      <w:pPr>
        <w:bidi/>
        <w:spacing w:line="240" w:lineRule="auto"/>
        <w:jc w:val="center"/>
        <w:rPr>
          <w:rFonts w:ascii="Traditional Arabic" w:cs="Traditional Arabic"/>
          <w:sz w:val="28"/>
          <w:szCs w:val="28"/>
        </w:rPr>
      </w:pPr>
      <w:r w:rsidRPr="00242401">
        <w:rPr>
          <w:rFonts w:ascii="Traditional Arabic" w:cs="Traditional Arabic"/>
          <w:sz w:val="28"/>
          <w:szCs w:val="28"/>
          <w:rtl/>
        </w:rPr>
        <w:t>المصدر: من إعداد الطالب بناءً على أدبيات التوريق المصرفي اعتماداً على التقرير</w:t>
      </w:r>
    </w:p>
    <w:p w14:paraId="43D2583C" w14:textId="77777777" w:rsidR="00EE0B13" w:rsidRDefault="00EE0B13" w:rsidP="0099106E">
      <w:pPr>
        <w:bidi/>
        <w:spacing w:after="100" w:afterAutospacing="1" w:line="240" w:lineRule="auto"/>
        <w:ind w:firstLine="720"/>
        <w:rPr>
          <w:rFonts w:ascii="Traditional Arabic" w:eastAsia="Times New Roman" w:hAnsi="Traditional Arabic" w:cs="Traditional Arabic"/>
          <w:sz w:val="32"/>
          <w:szCs w:val="32"/>
          <w:rtl/>
        </w:rPr>
      </w:pPr>
      <w:r>
        <w:rPr>
          <w:rFonts w:ascii="Traditional Arabic" w:eastAsia="Times New Roman" w:hAnsi="Traditional Arabic" w:cs="Traditional Arabic"/>
          <w:sz w:val="32"/>
          <w:szCs w:val="32"/>
          <w:rtl/>
        </w:rPr>
        <w:t>وفي النهاية، يتضح من خلال الفصل الأوّل أنّ التوريق يمثل آلية فعّالة لإدارة المخاطر المصرفية، إذ يُمكّن البنوك من تحسين مؤشرات السيولة وكفاية رأس المال وتخفيف المخاطر الائتمانية، وهو ما سيتم استكمال تحليله في الفصل التطبيقي من خلال دراسة تجربة البنك الأهلي السعودي وقياس أثر التوريق على أدائه المالي وإدارة مخاطره.</w:t>
      </w:r>
      <w:r>
        <w:rPr>
          <w:rFonts w:ascii="Traditional Arabic" w:eastAsia="Times New Roman" w:hAnsi="Traditional Arabic" w:cs="Traditional Arabic"/>
          <w:sz w:val="32"/>
          <w:szCs w:val="32"/>
        </w:rPr>
        <w:t>.</w:t>
      </w:r>
    </w:p>
    <w:p w14:paraId="778FDD0C"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bookmarkStart w:id="6" w:name="X935215c33cb913340fc8cb6af99d11661fa47c0"/>
    </w:p>
    <w:p w14:paraId="651FFABC"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16E2F55C"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b/>
          <w:bCs/>
          <w:sz w:val="32"/>
          <w:szCs w:val="32"/>
          <w:rtl/>
        </w:rPr>
        <w:sectPr w:rsidR="006A1F7A" w:rsidSect="009F79D5">
          <w:headerReference w:type="default" r:id="rId20"/>
          <w:footerReference w:type="default" r:id="rId21"/>
          <w:footnotePr>
            <w:numRestart w:val="eachPage"/>
          </w:footnotePr>
          <w:pgSz w:w="11906" w:h="16838"/>
          <w:pgMar w:top="1417" w:right="1417" w:bottom="1417" w:left="1417" w:header="708" w:footer="708" w:gutter="0"/>
          <w:pgNumType w:start="2"/>
          <w:cols w:space="708"/>
          <w:docGrid w:linePitch="360"/>
        </w:sectPr>
      </w:pPr>
    </w:p>
    <w:p w14:paraId="1BEB95F4"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37E468B7"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5091FB5D"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0B64F22F"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3AABAEEB"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67624FE6" w14:textId="77777777" w:rsidR="007E7909" w:rsidRPr="00EF51D7" w:rsidRDefault="007E7909" w:rsidP="00540437">
      <w:pPr>
        <w:bidi/>
        <w:spacing w:before="100" w:beforeAutospacing="1" w:after="100" w:afterAutospacing="1" w:line="240" w:lineRule="auto"/>
        <w:jc w:val="center"/>
        <w:rPr>
          <w:rFonts w:ascii="Traditional Arabic" w:eastAsia="Times New Roman" w:hAnsi="Traditional Arabic" w:cs="Traditional Arabic"/>
          <w:b/>
          <w:bCs/>
          <w:sz w:val="96"/>
          <w:szCs w:val="96"/>
          <w:rtl/>
        </w:rPr>
      </w:pPr>
      <w:r>
        <w:rPr>
          <w:rFonts w:ascii="Traditional Arabic" w:eastAsia="Times New Roman" w:hAnsi="Traditional Arabic" w:cs="Traditional Arabic"/>
          <w:b/>
          <w:bCs/>
          <w:sz w:val="96"/>
          <w:szCs w:val="96"/>
          <w:rtl/>
        </w:rPr>
        <w:t>الفصل الثاني:</w:t>
      </w:r>
    </w:p>
    <w:p w14:paraId="41A0254A" w14:textId="77777777" w:rsidR="00EF51D7" w:rsidRPr="00EF51D7" w:rsidRDefault="00EF51D7" w:rsidP="00540437">
      <w:pPr>
        <w:bidi/>
        <w:spacing w:before="100" w:beforeAutospacing="1" w:after="100" w:afterAutospacing="1" w:line="240" w:lineRule="auto"/>
        <w:jc w:val="center"/>
        <w:rPr>
          <w:rFonts w:ascii="Traditional Arabic" w:eastAsia="Times New Roman" w:hAnsi="Traditional Arabic" w:cs="Traditional Arabic"/>
          <w:b/>
          <w:bCs/>
          <w:sz w:val="96"/>
          <w:szCs w:val="96"/>
          <w:lang w:val="fr-FR"/>
        </w:rPr>
      </w:pPr>
      <w:r>
        <w:rPr>
          <w:rFonts w:ascii="Traditional Arabic" w:eastAsia="Times New Roman" w:hAnsi="Traditional Arabic" w:cs="Traditional Arabic"/>
          <w:b/>
          <w:bCs/>
          <w:sz w:val="96"/>
          <w:szCs w:val="96"/>
          <w:rtl/>
          <w:lang w:val="fr-FR"/>
        </w:rPr>
        <w:t>التوريق المصرفي في البنك الأهلي السعودي (دراسة حالة)</w:t>
      </w:r>
    </w:p>
    <w:p w14:paraId="37C34F97"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5AD1272D"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24D8C297"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2AADDB25" w14:textId="77777777" w:rsidR="007E7909" w:rsidRDefault="007E7909"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6ABCEE6F" w14:textId="77777777" w:rsidR="0011123F" w:rsidRDefault="0011123F" w:rsidP="00540437">
      <w:pPr>
        <w:bidi/>
        <w:spacing w:before="100" w:beforeAutospacing="1" w:after="100" w:afterAutospacing="1" w:line="240" w:lineRule="auto"/>
        <w:rPr>
          <w:rFonts w:ascii="Traditional Arabic" w:eastAsia="Times New Roman" w:hAnsi="Traditional Arabic" w:cs="Traditional Arabic"/>
          <w:b/>
          <w:bCs/>
          <w:sz w:val="32"/>
          <w:szCs w:val="32"/>
          <w:rtl/>
        </w:rPr>
        <w:sectPr w:rsidR="0011123F" w:rsidSect="009F79D5">
          <w:headerReference w:type="default" r:id="rId22"/>
          <w:footerReference w:type="default" r:id="rId23"/>
          <w:pgSz w:w="11906" w:h="16838"/>
          <w:pgMar w:top="1417" w:right="1417" w:bottom="1417" w:left="1417" w:header="708" w:footer="708" w:gutter="0"/>
          <w:pgNumType w:start="2"/>
          <w:cols w:space="708"/>
          <w:docGrid w:linePitch="360"/>
        </w:sectPr>
      </w:pPr>
    </w:p>
    <w:p w14:paraId="6D1409EA" w14:textId="77777777" w:rsidR="0011123F" w:rsidRPr="0011123F" w:rsidRDefault="0011123F" w:rsidP="0099106E">
      <w:pPr>
        <w:pStyle w:val="Titre2"/>
        <w:bidi/>
        <w:spacing w:before="0" w:beforeAutospacing="0" w:after="0" w:afterAutospacing="0"/>
        <w:rPr>
          <w:rFonts w:ascii="Traditional Arabic" w:hAnsi="Traditional Arabic" w:cs="Traditional Arabic"/>
          <w:sz w:val="32"/>
          <w:szCs w:val="32"/>
        </w:rPr>
      </w:pPr>
      <w:bookmarkStart w:id="7" w:name="تمهيد"/>
      <w:bookmarkStart w:id="8" w:name="X7626879630301ca1c35fd79719849d2202f57fb"/>
      <w:r>
        <w:rPr>
          <w:rFonts w:ascii="Traditional Arabic" w:hAnsi="Traditional Arabic" w:cs="Traditional Arabic"/>
          <w:sz w:val="32"/>
          <w:szCs w:val="32"/>
          <w:rtl/>
        </w:rPr>
        <w:lastRenderedPageBreak/>
        <w:t>تمهيد</w:t>
      </w:r>
    </w:p>
    <w:p w14:paraId="34CD3DEF" w14:textId="77777777" w:rsidR="0011123F" w:rsidRPr="00921A47" w:rsidRDefault="0011123F" w:rsidP="0099106E">
      <w:pPr>
        <w:bidi/>
        <w:spacing w:after="0" w:line="240" w:lineRule="auto"/>
        <w:ind w:firstLine="720"/>
        <w:rPr>
          <w:rFonts w:ascii="Traditional Arabic" w:hAnsi="Traditional Arabic" w:cs="Traditional Arabic"/>
          <w:sz w:val="32"/>
          <w:szCs w:val="32"/>
        </w:rPr>
      </w:pPr>
      <w:r>
        <w:rPr>
          <w:rFonts w:ascii="Traditional Arabic" w:hAnsi="Traditional Arabic" w:cs="Traditional Arabic"/>
          <w:sz w:val="32"/>
          <w:szCs w:val="32"/>
          <w:rtl/>
        </w:rPr>
        <w:t xml:space="preserve">بعد أن تناول الفصل الأول الإطار النظري لعمليات التوريق المصرفي من حيث المفهوم والآليات والأطراف المتدخلة ودوره في إدارة المخاطر، يأتي هذا الفصل ليُجسّد الجانب التطبيقي من خلال دراسة حالة البنك الأهلي السعودي (SNB – </w:t>
      </w:r>
      <w:proofErr w:type="spellStart"/>
      <w:r>
        <w:rPr>
          <w:rFonts w:ascii="Traditional Arabic" w:hAnsi="Traditional Arabic" w:cs="Traditional Arabic"/>
          <w:sz w:val="32"/>
          <w:szCs w:val="32"/>
          <w:rtl/>
        </w:rPr>
        <w:t>Saudi</w:t>
      </w:r>
      <w:proofErr w:type="spellEnd"/>
      <w:r>
        <w:rPr>
          <w:rFonts w:ascii="Traditional Arabic" w:hAnsi="Traditional Arabic" w:cs="Traditional Arabic"/>
          <w:sz w:val="32"/>
          <w:szCs w:val="32"/>
          <w:rtl/>
        </w:rPr>
        <w:t xml:space="preserve"> </w:t>
      </w:r>
      <w:proofErr w:type="spellStart"/>
      <w:r>
        <w:rPr>
          <w:rFonts w:ascii="Traditional Arabic" w:hAnsi="Traditional Arabic" w:cs="Traditional Arabic"/>
          <w:sz w:val="32"/>
          <w:szCs w:val="32"/>
          <w:rtl/>
        </w:rPr>
        <w:t>National</w:t>
      </w:r>
      <w:proofErr w:type="spellEnd"/>
      <w:r>
        <w:rPr>
          <w:rFonts w:ascii="Traditional Arabic" w:hAnsi="Traditional Arabic" w:cs="Traditional Arabic"/>
          <w:sz w:val="32"/>
          <w:szCs w:val="32"/>
          <w:rtl/>
        </w:rPr>
        <w:t xml:space="preserve"> </w:t>
      </w:r>
      <w:proofErr w:type="spellStart"/>
      <w:r>
        <w:rPr>
          <w:rFonts w:ascii="Traditional Arabic" w:hAnsi="Traditional Arabic" w:cs="Traditional Arabic"/>
          <w:sz w:val="32"/>
          <w:szCs w:val="32"/>
          <w:rtl/>
        </w:rPr>
        <w:t>Bank</w:t>
      </w:r>
      <w:proofErr w:type="spellEnd"/>
      <w:r>
        <w:rPr>
          <w:rFonts w:ascii="Traditional Arabic" w:hAnsi="Traditional Arabic" w:cs="Traditional Arabic"/>
          <w:sz w:val="32"/>
          <w:szCs w:val="32"/>
          <w:rtl/>
        </w:rPr>
        <w:t xml:space="preserve">)، باعتباره أحد أكبر البنوك في المنطقة العربية التي تمتلك تجربة فعلية وموثّقة في مجال التوريق المصرفي للديون. وقد تم اختيار هذه الحالة بالاستناد إلى الدراسة السابقة لـ </w:t>
      </w:r>
      <w:proofErr w:type="spellStart"/>
      <w:r>
        <w:rPr>
          <w:rFonts w:ascii="Traditional Arabic" w:hAnsi="Traditional Arabic" w:cs="Traditional Arabic"/>
          <w:sz w:val="32"/>
          <w:szCs w:val="32"/>
          <w:rtl/>
        </w:rPr>
        <w:t>بوزياني</w:t>
      </w:r>
      <w:proofErr w:type="spellEnd"/>
      <w:r>
        <w:rPr>
          <w:rFonts w:ascii="Traditional Arabic" w:hAnsi="Traditional Arabic" w:cs="Traditional Arabic"/>
          <w:sz w:val="32"/>
          <w:szCs w:val="32"/>
          <w:rtl/>
        </w:rPr>
        <w:t xml:space="preserve"> محمد وحليلو عبد القادر (2022) التي أكّدت أن التجربة السعودية في التوريق تُشكّل نموذجاً يحتذى به في السياق العربي، نظراً لتوافر البنية التشريعية والمؤسسية والسوق المالية النشطة.</w:t>
      </w:r>
    </w:p>
    <w:p w14:paraId="40CDD144" w14:textId="77777777" w:rsidR="0011123F" w:rsidRPr="00921A47" w:rsidRDefault="0011123F" w:rsidP="0099106E">
      <w:pPr>
        <w:bidi/>
        <w:spacing w:line="240" w:lineRule="auto"/>
        <w:rPr>
          <w:rFonts w:ascii="Traditional Arabic" w:hAnsi="Traditional Arabic" w:cs="Traditional Arabic"/>
          <w:sz w:val="32"/>
          <w:szCs w:val="32"/>
        </w:rPr>
      </w:pPr>
      <w:r>
        <w:rPr>
          <w:rFonts w:ascii="Traditional Arabic" w:hAnsi="Traditional Arabic" w:cs="Traditional Arabic"/>
          <w:sz w:val="32"/>
          <w:szCs w:val="32"/>
          <w:rtl/>
        </w:rPr>
        <w:t>يُقسَّم هذا الفصل إلى ثلاثة مباحث: - المبحث الأول: تقديم مؤسسة البنك الأهلي السعودي. - المبحث الثاني: آلية التوريق في البنك الأهلي السعودي. - المبحث الثالث: استخدام التوريق في إدارة المخاطر.</w:t>
      </w:r>
    </w:p>
    <w:p w14:paraId="32E1F692" w14:textId="77777777" w:rsidR="0011123F" w:rsidRPr="0011123F" w:rsidRDefault="0011123F" w:rsidP="00540437">
      <w:pPr>
        <w:pStyle w:val="Titre2"/>
        <w:bidi/>
        <w:rPr>
          <w:rFonts w:ascii="Traditional Arabic" w:hAnsi="Traditional Arabic" w:cs="Traditional Arabic"/>
          <w:sz w:val="32"/>
          <w:szCs w:val="32"/>
          <w:rtl/>
        </w:rPr>
        <w:sectPr w:rsidR="0011123F" w:rsidRPr="0011123F" w:rsidSect="009F79D5">
          <w:headerReference w:type="default" r:id="rId24"/>
          <w:footerReference w:type="default" r:id="rId25"/>
          <w:pgSz w:w="11906" w:h="16838"/>
          <w:pgMar w:top="1417" w:right="1417" w:bottom="1417" w:left="1417" w:header="708" w:footer="708" w:gutter="0"/>
          <w:pgNumType w:start="31"/>
          <w:cols w:space="708"/>
          <w:docGrid w:linePitch="360"/>
        </w:sectPr>
      </w:pPr>
      <w:bookmarkStart w:id="9" w:name="Xed3cbbe277dc3d0c8533d9b47d80b7ffeab568b"/>
    </w:p>
    <w:p w14:paraId="21BD02DA" w14:textId="77777777" w:rsidR="0011123F" w:rsidRDefault="0011123F" w:rsidP="00540437">
      <w:pPr>
        <w:pStyle w:val="Titre2"/>
        <w:bidi/>
        <w:spacing w:before="0" w:beforeAutospacing="0" w:after="0" w:afterAutospacing="0"/>
        <w:rPr>
          <w:rFonts w:ascii="Traditional Arabic" w:hAnsi="Traditional Arabic" w:cs="Traditional Arabic"/>
          <w:rtl/>
        </w:rPr>
      </w:pPr>
      <w:r>
        <w:rPr>
          <w:rFonts w:ascii="Traditional Arabic" w:hAnsi="Traditional Arabic" w:cs="Traditional Arabic"/>
          <w:rtl/>
        </w:rPr>
        <w:lastRenderedPageBreak/>
        <w:t>المبحث الأول: تقديم مؤسسة البنك الأهلي السعودي</w:t>
      </w:r>
    </w:p>
    <w:p w14:paraId="0B6AD0A2" w14:textId="06C64C74" w:rsidR="0011123F" w:rsidRPr="004B1BB8" w:rsidRDefault="004B1BB8" w:rsidP="004B1BB8">
      <w:pPr>
        <w:bidi/>
        <w:spacing w:after="0" w:line="240" w:lineRule="auto"/>
        <w:ind w:firstLine="720"/>
        <w:rPr>
          <w:rFonts w:ascii="Traditional Arabic" w:hAnsi="Traditional Arabic" w:cs="Traditional Arabic"/>
          <w:sz w:val="32"/>
          <w:szCs w:val="32"/>
        </w:rPr>
      </w:pPr>
      <w:r>
        <w:rPr>
          <w:rFonts w:ascii="Traditional Arabic" w:hAnsi="Traditional Arabic" w:cs="Traditional Arabic"/>
          <w:sz w:val="32"/>
          <w:szCs w:val="32"/>
          <w:rtl/>
        </w:rPr>
        <w:t xml:space="preserve">تأسّس </w:t>
      </w:r>
      <w:r>
        <w:rPr>
          <w:rFonts w:ascii="Traditional Arabic" w:hAnsi="Traditional Arabic" w:cs="Traditional Arabic"/>
          <w:b/>
          <w:bCs/>
          <w:sz w:val="32"/>
          <w:szCs w:val="32"/>
          <w:rtl/>
        </w:rPr>
        <w:t>البنك الأهلي التجاري</w:t>
      </w:r>
      <w:r>
        <w:rPr>
          <w:rFonts w:ascii="Traditional Arabic" w:hAnsi="Traditional Arabic" w:cs="Traditional Arabic"/>
          <w:sz w:val="32"/>
          <w:szCs w:val="32"/>
          <w:rtl/>
        </w:rPr>
        <w:t xml:space="preserve"> عام </w:t>
      </w:r>
      <w:r>
        <w:rPr>
          <w:rFonts w:ascii="Traditional Arabic" w:hAnsi="Traditional Arabic" w:cs="Traditional Arabic"/>
          <w:b/>
          <w:bCs/>
          <w:sz w:val="32"/>
          <w:szCs w:val="32"/>
          <w:rtl/>
        </w:rPr>
        <w:t>1953م</w:t>
      </w:r>
      <w:r>
        <w:rPr>
          <w:rFonts w:ascii="Traditional Arabic" w:hAnsi="Traditional Arabic" w:cs="Traditional Arabic"/>
          <w:sz w:val="32"/>
          <w:szCs w:val="32"/>
          <w:rtl/>
        </w:rPr>
        <w:t xml:space="preserve"> في جدة، ليكون أول بنك سعودي بامتياز، وظلّ لعقود طويلة أحد أعمدة المنظومة المصرفية في المملكة العربية السعودية. وفي عام </w:t>
      </w:r>
      <w:r>
        <w:rPr>
          <w:rFonts w:ascii="Traditional Arabic" w:hAnsi="Traditional Arabic" w:cs="Traditional Arabic"/>
          <w:b/>
          <w:bCs/>
          <w:sz w:val="32"/>
          <w:szCs w:val="32"/>
          <w:rtl/>
        </w:rPr>
        <w:t>2021م</w:t>
      </w:r>
      <w:r>
        <w:rPr>
          <w:rFonts w:ascii="Traditional Arabic" w:hAnsi="Traditional Arabic" w:cs="Traditional Arabic"/>
          <w:sz w:val="32"/>
          <w:szCs w:val="32"/>
          <w:rtl/>
        </w:rPr>
        <w:t xml:space="preserve">، تمّ الاندماج التاريخي بين البنك الأهلي التجاري وبنك سامبا المالي، لينبثق عن هذا الاندماج كيان مصرفي جديد هو </w:t>
      </w:r>
      <w:r>
        <w:rPr>
          <w:rFonts w:ascii="Traditional Arabic" w:hAnsi="Traditional Arabic" w:cs="Traditional Arabic"/>
          <w:b/>
          <w:bCs/>
          <w:sz w:val="32"/>
          <w:szCs w:val="32"/>
          <w:rtl/>
        </w:rPr>
        <w:t>البنك الأهلي السعودي (</w:t>
      </w:r>
      <w:r>
        <w:rPr>
          <w:rFonts w:ascii="Traditional Arabic" w:hAnsi="Traditional Arabic" w:cs="Traditional Arabic"/>
          <w:b/>
          <w:bCs/>
          <w:sz w:val="32"/>
          <w:szCs w:val="32"/>
        </w:rPr>
        <w:t>SNB</w:t>
      </w:r>
      <w:r>
        <w:rPr>
          <w:rFonts w:ascii="Traditional Arabic" w:hAnsi="Traditional Arabic" w:cs="Traditional Arabic"/>
          <w:b/>
          <w:bCs/>
          <w:sz w:val="32"/>
          <w:szCs w:val="32"/>
          <w:rtl/>
        </w:rPr>
        <w:t>)</w:t>
      </w:r>
      <w:r>
        <w:rPr>
          <w:rFonts w:ascii="Traditional Arabic" w:hAnsi="Traditional Arabic" w:cs="Traditional Arabic"/>
          <w:sz w:val="32"/>
          <w:szCs w:val="32"/>
          <w:rtl/>
        </w:rPr>
        <w:t>، الذي أصبح بذلك أكبر بنك في المملكة وأحد أضخم البنوك على مستوى منطقة الشرق الأوسط وشمال أفريقيا.</w:t>
      </w:r>
    </w:p>
    <w:p w14:paraId="1BD27F2A" w14:textId="77777777" w:rsidR="0011123F" w:rsidRPr="0011123F" w:rsidRDefault="0011123F" w:rsidP="00540437">
      <w:pPr>
        <w:pStyle w:val="Titre3"/>
        <w:bidi/>
        <w:spacing w:before="0" w:beforeAutospacing="0" w:after="0" w:afterAutospacing="0"/>
        <w:rPr>
          <w:rFonts w:ascii="Traditional Arabic" w:hAnsi="Traditional Arabic" w:cs="Traditional Arabic"/>
          <w:sz w:val="36"/>
          <w:szCs w:val="36"/>
        </w:rPr>
      </w:pPr>
      <w:bookmarkStart w:id="10" w:name="المطلب-الأول-نشأة-البنك-وتطوره-التاريخي"/>
      <w:r>
        <w:rPr>
          <w:rFonts w:ascii="Traditional Arabic" w:hAnsi="Traditional Arabic" w:cs="Traditional Arabic"/>
          <w:sz w:val="36"/>
          <w:szCs w:val="36"/>
          <w:rtl/>
        </w:rPr>
        <w:t>المطلب الأول: نشأة البنك وتطوره التاريخي</w:t>
      </w:r>
    </w:p>
    <w:p w14:paraId="2AB36CB3" w14:textId="19397034" w:rsidR="004B1BB8" w:rsidRPr="00D46F2C" w:rsidRDefault="004B1BB8" w:rsidP="004B1BB8">
      <w:pPr>
        <w:pStyle w:val="Lgende"/>
        <w:bidi/>
        <w:rPr>
          <w:b w:val="0"/>
          <w:bCs w:val="0"/>
        </w:rPr>
      </w:pPr>
      <w:bookmarkStart w:id="11" w:name="_Toc231638647"/>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3</w:t>
      </w:r>
      <w:r w:rsidR="009248E3">
        <w:rPr>
          <w:noProof/>
        </w:rPr>
        <w:fldChar w:fldCharType="end"/>
      </w:r>
      <w:r>
        <w:rPr>
          <w:noProof/>
          <w:lang w:val="fr-FR"/>
        </w:rPr>
        <w:t xml:space="preserve"> </w:t>
      </w:r>
      <w:r w:rsidRPr="00E92835">
        <w:rPr>
          <w:noProof/>
          <w:rtl/>
          <w:lang w:val="fr-FR"/>
        </w:rPr>
        <w:t>بطاقة فنية – البنك الأهلي السعودي</w:t>
      </w:r>
    </w:p>
    <w:tbl>
      <w:tblPr>
        <w:tblStyle w:val="Grilledutableau6"/>
        <w:bidiVisual/>
        <w:tblW w:w="9350" w:type="dxa"/>
        <w:tblInd w:w="0" w:type="dxa"/>
        <w:tblLook w:val="04A0" w:firstRow="1" w:lastRow="0" w:firstColumn="1" w:lastColumn="0" w:noHBand="0" w:noVBand="1"/>
      </w:tblPr>
      <w:tblGrid>
        <w:gridCol w:w="3117"/>
        <w:gridCol w:w="6233"/>
      </w:tblGrid>
      <w:tr w:rsidR="004B1BB8" w:rsidRPr="00242401" w14:paraId="501730C1" w14:textId="77777777" w:rsidTr="00E54090">
        <w:tc>
          <w:tcPr>
            <w:tcW w:w="3117" w:type="dxa"/>
          </w:tcPr>
          <w:p w14:paraId="405DE50C" w14:textId="77777777" w:rsidR="004B1BB8" w:rsidRPr="00242401" w:rsidRDefault="004B1BB8" w:rsidP="00E54090">
            <w:pPr>
              <w:bidi/>
              <w:jc w:val="center"/>
              <w:rPr>
                <w:sz w:val="32"/>
                <w:szCs w:val="32"/>
              </w:rPr>
            </w:pPr>
            <w:r w:rsidRPr="00242401">
              <w:rPr>
                <w:rFonts w:ascii="Traditional Arabic" w:cs="Traditional Arabic"/>
                <w:b/>
                <w:bCs/>
                <w:sz w:val="32"/>
                <w:szCs w:val="32"/>
                <w:rtl/>
              </w:rPr>
              <w:t>البيان</w:t>
            </w:r>
          </w:p>
        </w:tc>
        <w:tc>
          <w:tcPr>
            <w:tcW w:w="6233" w:type="dxa"/>
          </w:tcPr>
          <w:p w14:paraId="6D28C4EA" w14:textId="77777777" w:rsidR="004B1BB8" w:rsidRPr="00242401" w:rsidRDefault="004B1BB8" w:rsidP="00E54090">
            <w:pPr>
              <w:bidi/>
              <w:jc w:val="center"/>
              <w:rPr>
                <w:sz w:val="32"/>
                <w:szCs w:val="32"/>
              </w:rPr>
            </w:pPr>
            <w:r w:rsidRPr="00242401">
              <w:rPr>
                <w:rFonts w:ascii="Traditional Arabic" w:cs="Traditional Arabic"/>
                <w:b/>
                <w:bCs/>
                <w:sz w:val="32"/>
                <w:szCs w:val="32"/>
                <w:rtl/>
              </w:rPr>
              <w:t>المعلومة</w:t>
            </w:r>
          </w:p>
        </w:tc>
      </w:tr>
      <w:tr w:rsidR="004B1BB8" w:rsidRPr="00242401" w14:paraId="00611216" w14:textId="77777777" w:rsidTr="00E54090">
        <w:tc>
          <w:tcPr>
            <w:tcW w:w="3117" w:type="dxa"/>
          </w:tcPr>
          <w:p w14:paraId="24B63DBF" w14:textId="77777777" w:rsidR="004B1BB8" w:rsidRPr="00242401" w:rsidRDefault="004B1BB8" w:rsidP="00E54090">
            <w:pPr>
              <w:bidi/>
              <w:rPr>
                <w:sz w:val="32"/>
                <w:szCs w:val="32"/>
              </w:rPr>
            </w:pPr>
            <w:r w:rsidRPr="00242401">
              <w:rPr>
                <w:rFonts w:ascii="Traditional Arabic" w:cs="Traditional Arabic"/>
                <w:b/>
                <w:bCs/>
                <w:sz w:val="32"/>
                <w:szCs w:val="32"/>
                <w:rtl/>
              </w:rPr>
              <w:t>الاسم الرسمي</w:t>
            </w:r>
          </w:p>
        </w:tc>
        <w:tc>
          <w:tcPr>
            <w:tcW w:w="6233" w:type="dxa"/>
          </w:tcPr>
          <w:p w14:paraId="7E6B95DC" w14:textId="77777777" w:rsidR="004B1BB8" w:rsidRPr="00242401" w:rsidRDefault="004B1BB8" w:rsidP="00E54090">
            <w:pPr>
              <w:bidi/>
              <w:rPr>
                <w:sz w:val="32"/>
                <w:szCs w:val="32"/>
              </w:rPr>
            </w:pPr>
            <w:r w:rsidRPr="00242401">
              <w:rPr>
                <w:rFonts w:ascii="Traditional Arabic" w:cs="Traditional Arabic"/>
                <w:sz w:val="32"/>
                <w:szCs w:val="32"/>
                <w:rtl/>
              </w:rPr>
              <w:t>البنك الأهلي السعودي (SNB)</w:t>
            </w:r>
          </w:p>
        </w:tc>
      </w:tr>
      <w:tr w:rsidR="004B1BB8" w:rsidRPr="00242401" w14:paraId="2154BE72" w14:textId="77777777" w:rsidTr="00E54090">
        <w:tc>
          <w:tcPr>
            <w:tcW w:w="3117" w:type="dxa"/>
          </w:tcPr>
          <w:p w14:paraId="26FF7E88" w14:textId="77777777" w:rsidR="004B1BB8" w:rsidRPr="00242401" w:rsidRDefault="004B1BB8" w:rsidP="00E54090">
            <w:pPr>
              <w:bidi/>
              <w:rPr>
                <w:sz w:val="32"/>
                <w:szCs w:val="32"/>
              </w:rPr>
            </w:pPr>
            <w:r w:rsidRPr="00242401">
              <w:rPr>
                <w:rFonts w:ascii="Traditional Arabic" w:cs="Traditional Arabic"/>
                <w:b/>
                <w:bCs/>
                <w:sz w:val="32"/>
                <w:szCs w:val="32"/>
                <w:rtl/>
              </w:rPr>
              <w:t>سنة التأسيس</w:t>
            </w:r>
          </w:p>
        </w:tc>
        <w:tc>
          <w:tcPr>
            <w:tcW w:w="6233" w:type="dxa"/>
          </w:tcPr>
          <w:p w14:paraId="32A5E526" w14:textId="77777777" w:rsidR="004B1BB8" w:rsidRPr="00242401" w:rsidRDefault="004B1BB8" w:rsidP="00E54090">
            <w:pPr>
              <w:bidi/>
              <w:rPr>
                <w:sz w:val="32"/>
                <w:szCs w:val="32"/>
              </w:rPr>
            </w:pPr>
            <w:r w:rsidRPr="00242401">
              <w:rPr>
                <w:rFonts w:ascii="Traditional Arabic" w:cs="Traditional Arabic"/>
                <w:sz w:val="32"/>
                <w:szCs w:val="32"/>
                <w:rtl/>
              </w:rPr>
              <w:t>1953م (</w:t>
            </w:r>
            <w:proofErr w:type="gramStart"/>
            <w:r w:rsidRPr="00242401">
              <w:rPr>
                <w:rFonts w:ascii="Traditional Arabic" w:cs="Traditional Arabic"/>
                <w:sz w:val="32"/>
                <w:szCs w:val="32"/>
                <w:rtl/>
              </w:rPr>
              <w:t>كـ"</w:t>
            </w:r>
            <w:proofErr w:type="gramEnd"/>
            <w:r w:rsidRPr="00242401">
              <w:rPr>
                <w:rFonts w:ascii="Traditional Arabic" w:cs="Traditional Arabic"/>
                <w:sz w:val="32"/>
                <w:szCs w:val="32"/>
                <w:rtl/>
              </w:rPr>
              <w:t>البنك الأهلي التجاري")، ثم الاندماج عام 2021م مع بنك سامبا</w:t>
            </w:r>
          </w:p>
        </w:tc>
      </w:tr>
      <w:tr w:rsidR="004B1BB8" w:rsidRPr="00242401" w14:paraId="375C57B1" w14:textId="77777777" w:rsidTr="00E54090">
        <w:tc>
          <w:tcPr>
            <w:tcW w:w="3117" w:type="dxa"/>
          </w:tcPr>
          <w:p w14:paraId="4B1AD482" w14:textId="77777777" w:rsidR="004B1BB8" w:rsidRPr="00242401" w:rsidRDefault="004B1BB8" w:rsidP="00E54090">
            <w:pPr>
              <w:bidi/>
              <w:rPr>
                <w:sz w:val="32"/>
                <w:szCs w:val="32"/>
              </w:rPr>
            </w:pPr>
            <w:r w:rsidRPr="00242401">
              <w:rPr>
                <w:rFonts w:ascii="Traditional Arabic" w:cs="Traditional Arabic"/>
                <w:b/>
                <w:bCs/>
                <w:sz w:val="32"/>
                <w:szCs w:val="32"/>
                <w:rtl/>
              </w:rPr>
              <w:t>المقر الرئيسي</w:t>
            </w:r>
          </w:p>
        </w:tc>
        <w:tc>
          <w:tcPr>
            <w:tcW w:w="6233" w:type="dxa"/>
          </w:tcPr>
          <w:p w14:paraId="5F5768CD" w14:textId="77777777" w:rsidR="004B1BB8" w:rsidRPr="00242401" w:rsidRDefault="004B1BB8" w:rsidP="00E54090">
            <w:pPr>
              <w:bidi/>
              <w:rPr>
                <w:sz w:val="32"/>
                <w:szCs w:val="32"/>
              </w:rPr>
            </w:pPr>
            <w:r w:rsidRPr="00242401">
              <w:rPr>
                <w:rFonts w:ascii="Traditional Arabic" w:cs="Traditional Arabic"/>
                <w:sz w:val="32"/>
                <w:szCs w:val="32"/>
                <w:rtl/>
              </w:rPr>
              <w:t>الرياض، المملكة العربية السعودية</w:t>
            </w:r>
          </w:p>
        </w:tc>
      </w:tr>
      <w:tr w:rsidR="004B1BB8" w:rsidRPr="00242401" w14:paraId="4E0A8837" w14:textId="77777777" w:rsidTr="00E54090">
        <w:tc>
          <w:tcPr>
            <w:tcW w:w="3117" w:type="dxa"/>
          </w:tcPr>
          <w:p w14:paraId="6C9CE542" w14:textId="77777777" w:rsidR="004B1BB8" w:rsidRPr="00242401" w:rsidRDefault="004B1BB8" w:rsidP="00E54090">
            <w:pPr>
              <w:bidi/>
              <w:rPr>
                <w:sz w:val="32"/>
                <w:szCs w:val="32"/>
              </w:rPr>
            </w:pPr>
            <w:r w:rsidRPr="00242401">
              <w:rPr>
                <w:rFonts w:ascii="Traditional Arabic" w:cs="Traditional Arabic"/>
                <w:b/>
                <w:bCs/>
                <w:sz w:val="32"/>
                <w:szCs w:val="32"/>
                <w:rtl/>
              </w:rPr>
              <w:t>طبيعة النشاط</w:t>
            </w:r>
          </w:p>
        </w:tc>
        <w:tc>
          <w:tcPr>
            <w:tcW w:w="6233" w:type="dxa"/>
          </w:tcPr>
          <w:p w14:paraId="5A140B83" w14:textId="77777777" w:rsidR="004B1BB8" w:rsidRPr="00242401" w:rsidRDefault="004B1BB8" w:rsidP="00E54090">
            <w:pPr>
              <w:bidi/>
              <w:rPr>
                <w:sz w:val="32"/>
                <w:szCs w:val="32"/>
              </w:rPr>
            </w:pPr>
            <w:r w:rsidRPr="00242401">
              <w:rPr>
                <w:rFonts w:ascii="Traditional Arabic" w:cs="Traditional Arabic"/>
                <w:sz w:val="32"/>
                <w:szCs w:val="32"/>
                <w:rtl/>
              </w:rPr>
              <w:t>بنك تجاري متعدد الخدمات (تجزئة، شركات، استثمار، تمويل إسلامي)</w:t>
            </w:r>
          </w:p>
        </w:tc>
      </w:tr>
      <w:tr w:rsidR="004B1BB8" w:rsidRPr="00242401" w14:paraId="7B8B350E" w14:textId="77777777" w:rsidTr="00E54090">
        <w:tc>
          <w:tcPr>
            <w:tcW w:w="3117" w:type="dxa"/>
          </w:tcPr>
          <w:p w14:paraId="051887D7" w14:textId="77777777" w:rsidR="004B1BB8" w:rsidRPr="00242401" w:rsidRDefault="004B1BB8" w:rsidP="00E54090">
            <w:pPr>
              <w:bidi/>
              <w:rPr>
                <w:sz w:val="32"/>
                <w:szCs w:val="32"/>
              </w:rPr>
            </w:pPr>
            <w:r w:rsidRPr="00242401">
              <w:rPr>
                <w:rFonts w:ascii="Traditional Arabic" w:cs="Traditional Arabic"/>
                <w:b/>
                <w:bCs/>
                <w:sz w:val="32"/>
                <w:szCs w:val="32"/>
                <w:rtl/>
              </w:rPr>
              <w:t>الجهة المشرفة</w:t>
            </w:r>
          </w:p>
        </w:tc>
        <w:tc>
          <w:tcPr>
            <w:tcW w:w="6233" w:type="dxa"/>
          </w:tcPr>
          <w:p w14:paraId="191FFF20" w14:textId="77777777" w:rsidR="004B1BB8" w:rsidRPr="00242401" w:rsidRDefault="004B1BB8" w:rsidP="00E54090">
            <w:pPr>
              <w:bidi/>
              <w:rPr>
                <w:sz w:val="32"/>
                <w:szCs w:val="32"/>
              </w:rPr>
            </w:pPr>
            <w:r w:rsidRPr="00242401">
              <w:rPr>
                <w:rFonts w:ascii="Traditional Arabic" w:cs="Traditional Arabic"/>
                <w:sz w:val="32"/>
                <w:szCs w:val="32"/>
                <w:rtl/>
              </w:rPr>
              <w:t>البنك المركزي السعودي (ساما) وهيئة السوق المالية (CMA)</w:t>
            </w:r>
          </w:p>
        </w:tc>
      </w:tr>
      <w:tr w:rsidR="004B1BB8" w:rsidRPr="00242401" w14:paraId="08655948" w14:textId="77777777" w:rsidTr="00E54090">
        <w:tc>
          <w:tcPr>
            <w:tcW w:w="3117" w:type="dxa"/>
          </w:tcPr>
          <w:p w14:paraId="267F5066" w14:textId="77777777" w:rsidR="004B1BB8" w:rsidRPr="00242401" w:rsidRDefault="004B1BB8" w:rsidP="00E54090">
            <w:pPr>
              <w:bidi/>
              <w:rPr>
                <w:sz w:val="32"/>
                <w:szCs w:val="32"/>
              </w:rPr>
            </w:pPr>
            <w:r w:rsidRPr="00242401">
              <w:rPr>
                <w:rFonts w:ascii="Traditional Arabic" w:cs="Traditional Arabic"/>
                <w:b/>
                <w:bCs/>
                <w:sz w:val="32"/>
                <w:szCs w:val="32"/>
                <w:rtl/>
              </w:rPr>
              <w:t>إجمالي الأصول (2023)</w:t>
            </w:r>
          </w:p>
        </w:tc>
        <w:tc>
          <w:tcPr>
            <w:tcW w:w="6233" w:type="dxa"/>
          </w:tcPr>
          <w:p w14:paraId="7D3C2BB2" w14:textId="77777777" w:rsidR="004B1BB8" w:rsidRPr="00242401" w:rsidRDefault="004B1BB8" w:rsidP="00E54090">
            <w:pPr>
              <w:bidi/>
              <w:rPr>
                <w:sz w:val="32"/>
                <w:szCs w:val="32"/>
              </w:rPr>
            </w:pPr>
            <w:r w:rsidRPr="00242401">
              <w:rPr>
                <w:rFonts w:ascii="Traditional Arabic" w:cs="Traditional Arabic"/>
                <w:sz w:val="32"/>
                <w:szCs w:val="32"/>
                <w:rtl/>
              </w:rPr>
              <w:t>يتجاوز 970 مليار ريال سعودي</w:t>
            </w:r>
          </w:p>
        </w:tc>
      </w:tr>
      <w:tr w:rsidR="004B1BB8" w:rsidRPr="00242401" w14:paraId="3E500F03" w14:textId="77777777" w:rsidTr="00E54090">
        <w:tc>
          <w:tcPr>
            <w:tcW w:w="3117" w:type="dxa"/>
          </w:tcPr>
          <w:p w14:paraId="331EDE52" w14:textId="77777777" w:rsidR="004B1BB8" w:rsidRPr="00242401" w:rsidRDefault="004B1BB8" w:rsidP="00E54090">
            <w:pPr>
              <w:bidi/>
              <w:rPr>
                <w:sz w:val="32"/>
                <w:szCs w:val="32"/>
              </w:rPr>
            </w:pPr>
            <w:r w:rsidRPr="00242401">
              <w:rPr>
                <w:rFonts w:ascii="Traditional Arabic" w:cs="Traditional Arabic"/>
                <w:b/>
                <w:bCs/>
                <w:sz w:val="32"/>
                <w:szCs w:val="32"/>
                <w:rtl/>
              </w:rPr>
              <w:t>الترتيب</w:t>
            </w:r>
          </w:p>
        </w:tc>
        <w:tc>
          <w:tcPr>
            <w:tcW w:w="6233" w:type="dxa"/>
          </w:tcPr>
          <w:p w14:paraId="4243CE59" w14:textId="77777777" w:rsidR="004B1BB8" w:rsidRPr="00242401" w:rsidRDefault="004B1BB8" w:rsidP="00E54090">
            <w:pPr>
              <w:bidi/>
              <w:rPr>
                <w:sz w:val="32"/>
                <w:szCs w:val="32"/>
              </w:rPr>
            </w:pPr>
            <w:r w:rsidRPr="00242401">
              <w:rPr>
                <w:rFonts w:ascii="Traditional Arabic" w:cs="Traditional Arabic"/>
                <w:sz w:val="32"/>
                <w:szCs w:val="32"/>
                <w:rtl/>
              </w:rPr>
              <w:t>أكبر بنك في المملكة العربية السعودية وأحد أكبر البنوك العربية</w:t>
            </w:r>
          </w:p>
        </w:tc>
      </w:tr>
      <w:tr w:rsidR="004B1BB8" w:rsidRPr="00242401" w14:paraId="3E00B263" w14:textId="77777777" w:rsidTr="00E54090">
        <w:tc>
          <w:tcPr>
            <w:tcW w:w="3117" w:type="dxa"/>
          </w:tcPr>
          <w:p w14:paraId="205CC866" w14:textId="77777777" w:rsidR="004B1BB8" w:rsidRPr="00242401" w:rsidRDefault="004B1BB8" w:rsidP="00E54090">
            <w:pPr>
              <w:bidi/>
              <w:rPr>
                <w:sz w:val="32"/>
                <w:szCs w:val="32"/>
              </w:rPr>
            </w:pPr>
            <w:r w:rsidRPr="00242401">
              <w:rPr>
                <w:rFonts w:ascii="Traditional Arabic" w:cs="Traditional Arabic"/>
                <w:b/>
                <w:bCs/>
                <w:sz w:val="32"/>
                <w:szCs w:val="32"/>
                <w:rtl/>
              </w:rPr>
              <w:t>الموقع الإلكتروني</w:t>
            </w:r>
          </w:p>
        </w:tc>
        <w:tc>
          <w:tcPr>
            <w:tcW w:w="6233" w:type="dxa"/>
          </w:tcPr>
          <w:p w14:paraId="2280B085" w14:textId="77777777" w:rsidR="004B1BB8" w:rsidRPr="00242401" w:rsidRDefault="004B1BB8" w:rsidP="00E54090">
            <w:pPr>
              <w:bidi/>
              <w:rPr>
                <w:sz w:val="32"/>
                <w:szCs w:val="32"/>
              </w:rPr>
            </w:pPr>
            <w:r w:rsidRPr="00242401">
              <w:rPr>
                <w:rFonts w:ascii="Traditional Arabic" w:cs="Traditional Arabic"/>
                <w:sz w:val="32"/>
                <w:szCs w:val="32"/>
                <w:rtl/>
              </w:rPr>
              <w:t>www.alahli.com</w:t>
            </w:r>
          </w:p>
        </w:tc>
      </w:tr>
    </w:tbl>
    <w:p w14:paraId="3BC85229" w14:textId="77777777" w:rsidR="004B1BB8" w:rsidRPr="00242401" w:rsidRDefault="004B1BB8" w:rsidP="004B1BB8">
      <w:pPr>
        <w:bidi/>
        <w:spacing w:after="0" w:line="240" w:lineRule="auto"/>
        <w:jc w:val="center"/>
        <w:rPr>
          <w:rFonts w:ascii="Traditional Arabic" w:cs="Traditional Arabic"/>
          <w:sz w:val="32"/>
          <w:szCs w:val="32"/>
        </w:rPr>
      </w:pPr>
      <w:r w:rsidRPr="00242401">
        <w:rPr>
          <w:rFonts w:ascii="Traditional Arabic" w:cs="Traditional Arabic"/>
          <w:sz w:val="32"/>
          <w:szCs w:val="32"/>
          <w:rtl/>
        </w:rPr>
        <w:t>المصدر: من إع</w:t>
      </w:r>
      <w:r>
        <w:rPr>
          <w:rFonts w:ascii="Traditional Arabic" w:cs="Traditional Arabic"/>
          <w:sz w:val="32"/>
          <w:szCs w:val="32"/>
          <w:rtl/>
        </w:rPr>
        <w:t>داد الطالب</w:t>
      </w:r>
      <w:r w:rsidRPr="00242401">
        <w:rPr>
          <w:rFonts w:ascii="Traditional Arabic" w:cs="Traditional Arabic"/>
          <w:sz w:val="32"/>
          <w:szCs w:val="32"/>
          <w:rtl/>
        </w:rPr>
        <w:t xml:space="preserve"> بناءً على التقارير السنوية للبنك الأهلي السعودي</w:t>
      </w:r>
    </w:p>
    <w:p w14:paraId="47F38B1E" w14:textId="30ECD440" w:rsidR="0011123F" w:rsidRPr="0011123F" w:rsidRDefault="00242401" w:rsidP="00242401">
      <w:pPr>
        <w:pStyle w:val="Lgende"/>
        <w:bidi/>
        <w:rPr>
          <w:sz w:val="32"/>
          <w:szCs w:val="32"/>
        </w:rPr>
      </w:pPr>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4</w:t>
      </w:r>
      <w:r w:rsidR="009248E3">
        <w:rPr>
          <w:noProof/>
        </w:rPr>
        <w:fldChar w:fldCharType="end"/>
      </w:r>
      <w:r>
        <w:rPr>
          <w:noProof/>
          <w:lang w:val="fr-FR"/>
        </w:rPr>
        <w:t xml:space="preserve"> </w:t>
      </w:r>
      <w:r w:rsidRPr="00CB5AB9">
        <w:rPr>
          <w:noProof/>
          <w:rtl/>
          <w:lang w:val="fr-FR"/>
        </w:rPr>
        <w:t>المحطات التاريخية الكبرى لمسيرة البنك الأهلي السعودي</w:t>
      </w:r>
      <w:bookmarkEnd w:id="11"/>
    </w:p>
    <w:tbl>
      <w:tblPr>
        <w:tblStyle w:val="Grilledutableau"/>
        <w:bidiVisual/>
        <w:tblW w:w="5000" w:type="pct"/>
        <w:tblLayout w:type="fixed"/>
        <w:tblLook w:val="0020" w:firstRow="1" w:lastRow="0" w:firstColumn="0" w:lastColumn="0" w:noHBand="0" w:noVBand="0"/>
      </w:tblPr>
      <w:tblGrid>
        <w:gridCol w:w="2948"/>
        <w:gridCol w:w="6114"/>
      </w:tblGrid>
      <w:tr w:rsidR="0011123F" w:rsidRPr="0011123F" w14:paraId="726EC3B5" w14:textId="77777777" w:rsidTr="00921A47">
        <w:tc>
          <w:tcPr>
            <w:tcW w:w="2948" w:type="dxa"/>
          </w:tcPr>
          <w:p w14:paraId="652CE10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السنة</w:t>
            </w:r>
          </w:p>
        </w:tc>
        <w:tc>
          <w:tcPr>
            <w:tcW w:w="6114" w:type="dxa"/>
          </w:tcPr>
          <w:p w14:paraId="05C1AF4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الحدث</w:t>
            </w:r>
          </w:p>
        </w:tc>
      </w:tr>
      <w:tr w:rsidR="0011123F" w:rsidRPr="0011123F" w14:paraId="274CE361" w14:textId="77777777" w:rsidTr="00921A47">
        <w:tc>
          <w:tcPr>
            <w:tcW w:w="2948" w:type="dxa"/>
          </w:tcPr>
          <w:p w14:paraId="1E56F37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1953</w:t>
            </w:r>
          </w:p>
        </w:tc>
        <w:tc>
          <w:tcPr>
            <w:tcW w:w="6114" w:type="dxa"/>
          </w:tcPr>
          <w:p w14:paraId="08C5CCC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تأسيس البنك الأهلي التجاري في جدة كأول بنك سعودي</w:t>
            </w:r>
          </w:p>
        </w:tc>
      </w:tr>
      <w:tr w:rsidR="0011123F" w:rsidRPr="0011123F" w14:paraId="15FA3939" w14:textId="77777777" w:rsidTr="00921A47">
        <w:tc>
          <w:tcPr>
            <w:tcW w:w="2948" w:type="dxa"/>
          </w:tcPr>
          <w:p w14:paraId="4BBBBCD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1970</w:t>
            </w:r>
          </w:p>
        </w:tc>
        <w:tc>
          <w:tcPr>
            <w:tcW w:w="6114" w:type="dxa"/>
          </w:tcPr>
          <w:p w14:paraId="7C48F55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توسّع الشبكة الفروع لتشمل مختلف مناطق المملكة</w:t>
            </w:r>
          </w:p>
        </w:tc>
      </w:tr>
      <w:tr w:rsidR="0011123F" w:rsidRPr="0011123F" w14:paraId="5E8005E6" w14:textId="77777777" w:rsidTr="00921A47">
        <w:tc>
          <w:tcPr>
            <w:tcW w:w="2948" w:type="dxa"/>
          </w:tcPr>
          <w:p w14:paraId="3B71EEF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1984</w:t>
            </w:r>
          </w:p>
        </w:tc>
        <w:tc>
          <w:tcPr>
            <w:tcW w:w="6114" w:type="dxa"/>
          </w:tcPr>
          <w:p w14:paraId="1CEA2AF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البدء في تطبيق أنظمة مصرفية إلكترونية حديثة</w:t>
            </w:r>
          </w:p>
        </w:tc>
      </w:tr>
      <w:tr w:rsidR="0011123F" w:rsidRPr="0011123F" w14:paraId="7703F8D4" w14:textId="77777777" w:rsidTr="00921A47">
        <w:tc>
          <w:tcPr>
            <w:tcW w:w="2948" w:type="dxa"/>
          </w:tcPr>
          <w:p w14:paraId="706F282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1999</w:t>
            </w:r>
          </w:p>
        </w:tc>
        <w:tc>
          <w:tcPr>
            <w:tcW w:w="6114" w:type="dxa"/>
          </w:tcPr>
          <w:p w14:paraId="7364A46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الإدراج الأوّلي في سوق الأسهم السعودية (تداول)</w:t>
            </w:r>
          </w:p>
        </w:tc>
      </w:tr>
      <w:tr w:rsidR="0011123F" w:rsidRPr="0011123F" w14:paraId="4F7EB258" w14:textId="77777777" w:rsidTr="00921A47">
        <w:tc>
          <w:tcPr>
            <w:tcW w:w="2948" w:type="dxa"/>
          </w:tcPr>
          <w:p w14:paraId="6E6DCF2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2008</w:t>
            </w:r>
          </w:p>
        </w:tc>
        <w:tc>
          <w:tcPr>
            <w:tcW w:w="6114" w:type="dxa"/>
          </w:tcPr>
          <w:p w14:paraId="05B0176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إطلاق منتجات التمويل العقاري المتوافق مع الشريعة</w:t>
            </w:r>
          </w:p>
        </w:tc>
      </w:tr>
      <w:tr w:rsidR="0011123F" w:rsidRPr="0011123F" w14:paraId="3A6AE703" w14:textId="77777777" w:rsidTr="00921A47">
        <w:tc>
          <w:tcPr>
            <w:tcW w:w="2948" w:type="dxa"/>
          </w:tcPr>
          <w:p w14:paraId="4A8CB15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2015</w:t>
            </w:r>
          </w:p>
        </w:tc>
        <w:tc>
          <w:tcPr>
            <w:tcW w:w="6114" w:type="dxa"/>
          </w:tcPr>
          <w:p w14:paraId="127C022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الشروع في برامج التوريق لمحافظ التمويل الشخصي</w:t>
            </w:r>
          </w:p>
        </w:tc>
      </w:tr>
      <w:tr w:rsidR="0011123F" w:rsidRPr="0011123F" w14:paraId="262DCFBB" w14:textId="77777777" w:rsidTr="00921A47">
        <w:tc>
          <w:tcPr>
            <w:tcW w:w="2948" w:type="dxa"/>
          </w:tcPr>
          <w:p w14:paraId="322D1FF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lastRenderedPageBreak/>
              <w:t>2021</w:t>
            </w:r>
          </w:p>
        </w:tc>
        <w:tc>
          <w:tcPr>
            <w:tcW w:w="6114" w:type="dxa"/>
          </w:tcPr>
          <w:p w14:paraId="082FA08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الاندماج مع سامبا المالي وإطلاق البنك الأهلي السعودي (SNB)</w:t>
            </w:r>
          </w:p>
        </w:tc>
      </w:tr>
      <w:tr w:rsidR="0011123F" w:rsidRPr="0011123F" w14:paraId="783BE247" w14:textId="77777777" w:rsidTr="00921A47">
        <w:tc>
          <w:tcPr>
            <w:tcW w:w="2948" w:type="dxa"/>
          </w:tcPr>
          <w:p w14:paraId="4687025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2023</w:t>
            </w:r>
          </w:p>
        </w:tc>
        <w:tc>
          <w:tcPr>
            <w:tcW w:w="6114" w:type="dxa"/>
          </w:tcPr>
          <w:p w14:paraId="447283E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إصدار صكوك توريق بقيمة 5 مليار ريال مدعومة بمحافظ التمويل العقاري</w:t>
            </w:r>
          </w:p>
        </w:tc>
      </w:tr>
    </w:tbl>
    <w:p w14:paraId="2C64AD10" w14:textId="77777777" w:rsidR="0011123F" w:rsidRPr="0011123F" w:rsidRDefault="0011123F" w:rsidP="00540437">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المصدر: من إعداد الطالب بناءً على التقرير السنوي للبنك الأهلي السعودي اعتماداً على التقرير</w:t>
      </w:r>
    </w:p>
    <w:p w14:paraId="2D500E9D" w14:textId="77777777" w:rsidR="0011123F" w:rsidRPr="0011123F" w:rsidRDefault="005165F7" w:rsidP="00540437">
      <w:pPr>
        <w:bidi/>
        <w:spacing w:after="0"/>
        <w:rPr>
          <w:rFonts w:ascii="Traditional Arabic" w:hAnsi="Traditional Arabic" w:cs="Traditional Arabic"/>
          <w:sz w:val="32"/>
          <w:szCs w:val="32"/>
        </w:rPr>
      </w:pPr>
      <w:r>
        <w:rPr>
          <w:rFonts w:ascii="Traditional Arabic" w:hAnsi="Traditional Arabic" w:cs="Traditional Arabic"/>
          <w:sz w:val="32"/>
          <w:szCs w:val="32"/>
        </w:rPr>
        <w:t>"</w:t>
      </w:r>
      <w:r>
        <w:rPr>
          <w:rFonts w:ascii="Traditional Arabic" w:hAnsi="Traditional Arabic" w:cs="Traditional Arabic"/>
          <w:sz w:val="32"/>
          <w:szCs w:val="32"/>
          <w:rtl/>
        </w:rPr>
        <w:t>يُظهر تتبع المسار التاريخي للبنك الأهلي السعودي</w:t>
      </w:r>
      <w:r>
        <w:rPr>
          <w:rFonts w:ascii="Traditional Arabic" w:hAnsi="Traditional Arabic" w:cs="Traditional Arabic"/>
          <w:sz w:val="32"/>
          <w:szCs w:val="32"/>
        </w:rPr>
        <w:t xml:space="preserve"> (SNB) </w:t>
      </w:r>
      <w:r>
        <w:rPr>
          <w:rFonts w:ascii="Traditional Arabic" w:hAnsi="Traditional Arabic" w:cs="Traditional Arabic"/>
          <w:sz w:val="32"/>
          <w:szCs w:val="32"/>
          <w:rtl/>
        </w:rPr>
        <w:t xml:space="preserve">الموثق في الجدول رقم (1) رحلة تحول استراتيجي </w:t>
      </w:r>
      <w:proofErr w:type="spellStart"/>
      <w:r>
        <w:rPr>
          <w:rFonts w:ascii="Traditional Arabic" w:hAnsi="Traditional Arabic" w:cs="Traditional Arabic"/>
          <w:sz w:val="32"/>
          <w:szCs w:val="32"/>
          <w:rtl/>
        </w:rPr>
        <w:t>نموجية</w:t>
      </w:r>
      <w:proofErr w:type="spellEnd"/>
      <w:r>
        <w:rPr>
          <w:rFonts w:ascii="Traditional Arabic" w:hAnsi="Traditional Arabic" w:cs="Traditional Arabic"/>
          <w:sz w:val="32"/>
          <w:szCs w:val="32"/>
          <w:rtl/>
        </w:rPr>
        <w:t xml:space="preserve"> واكبت ديناميكية الاقتصاد الوطني السعودي على مدار سبعة عقود. فمنذ مرحلة التأسيس الهيكلي كأول بنك سعودي عام 1953، تدرجت المؤسسة عبر محطات مفصلية انتقلت بها من التوسع الجغرافي الأفقي في سبعينيات القرن الماضي، إلى الريادة التقنية بتبني الأنظمة المصرفية الإلكترونية عام 1984، وصولاً إلى تعزيز الحوكمة والشفافية عبر الإدراج في سوق الأسهم المالية</w:t>
      </w:r>
      <w:r>
        <w:rPr>
          <w:rFonts w:ascii="Traditional Arabic" w:hAnsi="Traditional Arabic" w:cs="Traditional Arabic"/>
          <w:sz w:val="32"/>
          <w:szCs w:val="32"/>
        </w:rPr>
        <w:t xml:space="preserve"> ($</w:t>
      </w:r>
      <w:r>
        <w:rPr>
          <w:rFonts w:ascii="Traditional Arabic" w:hAnsi="Traditional Arabic" w:cs="Traditional Arabic"/>
          <w:sz w:val="32"/>
          <w:szCs w:val="32"/>
          <w:rtl/>
        </w:rPr>
        <w:t>تداول</w:t>
      </w:r>
      <w:r>
        <w:rPr>
          <w:rFonts w:ascii="Traditional Arabic" w:hAnsi="Traditional Arabic" w:cs="Traditional Arabic"/>
          <w:sz w:val="32"/>
          <w:szCs w:val="32"/>
        </w:rPr>
        <w:t xml:space="preserve">$) </w:t>
      </w:r>
      <w:r>
        <w:rPr>
          <w:rFonts w:ascii="Traditional Arabic" w:hAnsi="Traditional Arabic" w:cs="Traditional Arabic"/>
          <w:sz w:val="32"/>
          <w:szCs w:val="32"/>
          <w:rtl/>
        </w:rPr>
        <w:t xml:space="preserve">عام 1999. ولم يقتصر هذا النمو على التوسع العددي، بل شمل ابتكار الهندسة المالية وتطوير المنتجات؛ وهو ما تجلى في تلبية متطلبات السوق من خلال إطلاق الحلول التمويلية المتوافقة مع الشريعة الإسلامية عام 2008، ثم الولوج إلى أدوات إدارة السيولة المعقدة عبر الشروع في برامج التوريق لمحفظة التمويل الشخصي عام 2015. وتُوجت هذه المسيرة بالاندماج التاريخي الاستراتيجي مع مجموعة سامبا المالية عام 2021، كخطوة تتماشى ومستهدفات رؤية المملكة 2030 في صناعة كيانات مصرفية عملاقة قادرة على قيادة المشهد المالي الإقليمي، وهو ما عزز كفاءته </w:t>
      </w:r>
      <w:proofErr w:type="spellStart"/>
      <w:r>
        <w:rPr>
          <w:rFonts w:ascii="Traditional Arabic" w:hAnsi="Traditional Arabic" w:cs="Traditional Arabic"/>
          <w:sz w:val="32"/>
          <w:szCs w:val="32"/>
          <w:rtl/>
        </w:rPr>
        <w:t>الملاءية</w:t>
      </w:r>
      <w:proofErr w:type="spellEnd"/>
      <w:r>
        <w:rPr>
          <w:rFonts w:ascii="Traditional Arabic" w:hAnsi="Traditional Arabic" w:cs="Traditional Arabic"/>
          <w:sz w:val="32"/>
          <w:szCs w:val="32"/>
          <w:rtl/>
        </w:rPr>
        <w:t xml:space="preserve"> في سوق أدوات الدين عبر إصدار صكوك توريق عقارية بقيمة 5 مليارات ريال عام 2023؛ الأمر الذي يؤكد مرونة الكيان وقدرته المستمرة على الموازنة بين تعظيم الربحية وإدارة المخاطر الهيكلية</w:t>
      </w:r>
      <w:r>
        <w:rPr>
          <w:rFonts w:ascii="Traditional Arabic" w:hAnsi="Traditional Arabic" w:cs="Traditional Arabic"/>
          <w:sz w:val="32"/>
          <w:szCs w:val="32"/>
        </w:rPr>
        <w:t>."</w:t>
      </w:r>
    </w:p>
    <w:p w14:paraId="734D61AB" w14:textId="77777777" w:rsidR="0011123F" w:rsidRPr="0011123F" w:rsidRDefault="0011123F" w:rsidP="00540437">
      <w:pPr>
        <w:pStyle w:val="Titre3"/>
        <w:bidi/>
        <w:spacing w:before="0" w:beforeAutospacing="0" w:after="0" w:afterAutospacing="0"/>
        <w:rPr>
          <w:rFonts w:ascii="Traditional Arabic" w:hAnsi="Traditional Arabic" w:cs="Traditional Arabic"/>
          <w:sz w:val="36"/>
          <w:szCs w:val="36"/>
        </w:rPr>
      </w:pPr>
      <w:bookmarkStart w:id="12" w:name="X4ff7dfb34c37aa026f8692447e222183ae1901e"/>
      <w:bookmarkEnd w:id="10"/>
      <w:r>
        <w:rPr>
          <w:rFonts w:ascii="Traditional Arabic" w:hAnsi="Traditional Arabic" w:cs="Traditional Arabic"/>
          <w:sz w:val="36"/>
          <w:szCs w:val="36"/>
          <w:rtl/>
        </w:rPr>
        <w:t>المطلب الثاني: المكانة والهيكل التنظيمي للبنك</w:t>
      </w:r>
    </w:p>
    <w:p w14:paraId="7AA8C5A5" w14:textId="77777777" w:rsidR="0011123F" w:rsidRPr="0011123F" w:rsidRDefault="0011123F" w:rsidP="00540437">
      <w:pPr>
        <w:pStyle w:val="Sansinterligne"/>
        <w:bidi/>
        <w:rPr>
          <w:rFonts w:ascii="Traditional Arabic" w:hAnsi="Traditional Arabic" w:cs="Traditional Arabic"/>
          <w:b/>
          <w:bCs/>
          <w:sz w:val="32"/>
          <w:szCs w:val="32"/>
        </w:rPr>
      </w:pPr>
      <w:bookmarkStart w:id="13" w:name="أولا-الحجم-والمكانة"/>
      <w:proofErr w:type="gramStart"/>
      <w:r>
        <w:rPr>
          <w:rFonts w:ascii="Traditional Arabic" w:hAnsi="Traditional Arabic" w:cs="Traditional Arabic" w:hint="cs"/>
          <w:b/>
          <w:bCs/>
          <w:sz w:val="32"/>
          <w:szCs w:val="32"/>
          <w:rtl/>
        </w:rPr>
        <w:t xml:space="preserve">اولا </w:t>
      </w:r>
      <w:r>
        <w:rPr>
          <w:rFonts w:ascii="Traditional Arabic" w:hAnsi="Traditional Arabic" w:cs="Traditional Arabic"/>
          <w:b/>
          <w:bCs/>
          <w:sz w:val="32"/>
          <w:szCs w:val="32"/>
          <w:rtl/>
        </w:rPr>
        <w:t>:</w:t>
      </w:r>
      <w:proofErr w:type="gramEnd"/>
      <w:r>
        <w:rPr>
          <w:rFonts w:ascii="Traditional Arabic" w:hAnsi="Traditional Arabic" w:cs="Traditional Arabic"/>
          <w:b/>
          <w:bCs/>
          <w:sz w:val="32"/>
          <w:szCs w:val="32"/>
          <w:rtl/>
        </w:rPr>
        <w:t xml:space="preserve"> الحجم والمكانة</w:t>
      </w:r>
    </w:p>
    <w:p w14:paraId="37B333C4" w14:textId="77777777" w:rsidR="0011123F" w:rsidRPr="0011123F" w:rsidRDefault="0011123F" w:rsidP="00540437">
      <w:pPr>
        <w:bidi/>
        <w:spacing w:after="0"/>
        <w:rPr>
          <w:rFonts w:ascii="Traditional Arabic" w:hAnsi="Traditional Arabic" w:cs="Traditional Arabic"/>
          <w:sz w:val="32"/>
          <w:szCs w:val="32"/>
        </w:rPr>
      </w:pPr>
      <w:r>
        <w:rPr>
          <w:rFonts w:ascii="Traditional Arabic" w:hAnsi="Traditional Arabic" w:cs="Traditional Arabic"/>
          <w:sz w:val="32"/>
          <w:szCs w:val="32"/>
          <w:rtl/>
        </w:rPr>
        <w:t>يحتل البنك الأهلي السعودي مكانةً ريادية في القطاع المصرفي السعودي والإقليمي، وتكشف المؤشرات المالية عن قوته وصلابته:</w:t>
      </w:r>
    </w:p>
    <w:p w14:paraId="70D5C489" w14:textId="127BB0D0" w:rsidR="0011123F" w:rsidRPr="0011123F" w:rsidRDefault="00242401" w:rsidP="00242401">
      <w:pPr>
        <w:pStyle w:val="Lgende"/>
        <w:bidi/>
        <w:rPr>
          <w:sz w:val="32"/>
          <w:szCs w:val="32"/>
        </w:rPr>
      </w:pPr>
      <w:bookmarkStart w:id="14" w:name="_Toc231638648"/>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5</w:t>
      </w:r>
      <w:r w:rsidR="009248E3">
        <w:rPr>
          <w:noProof/>
        </w:rPr>
        <w:fldChar w:fldCharType="end"/>
      </w:r>
      <w:r>
        <w:rPr>
          <w:noProof/>
          <w:lang w:val="fr-FR"/>
        </w:rPr>
        <w:t xml:space="preserve"> </w:t>
      </w:r>
      <w:r w:rsidRPr="009F321C">
        <w:rPr>
          <w:noProof/>
          <w:rtl/>
          <w:lang w:val="fr-FR"/>
        </w:rPr>
        <w:t>المؤشرات المالية الرئيسية للبنك الأهلي السعودي</w:t>
      </w:r>
      <w:r w:rsidRPr="009F321C">
        <w:rPr>
          <w:noProof/>
          <w:lang w:val="fr-FR"/>
        </w:rPr>
        <w:t xml:space="preserve"> (2023)</w:t>
      </w:r>
      <w:bookmarkEnd w:id="14"/>
    </w:p>
    <w:tbl>
      <w:tblPr>
        <w:tblStyle w:val="Grilledutableau"/>
        <w:bidiVisual/>
        <w:tblW w:w="0" w:type="auto"/>
        <w:tblLook w:val="0020" w:firstRow="1" w:lastRow="0" w:firstColumn="0" w:lastColumn="0" w:noHBand="0" w:noVBand="0"/>
      </w:tblPr>
      <w:tblGrid>
        <w:gridCol w:w="3369"/>
        <w:gridCol w:w="2478"/>
      </w:tblGrid>
      <w:tr w:rsidR="0011123F" w:rsidRPr="0011123F" w14:paraId="1B5C1FBA" w14:textId="77777777" w:rsidTr="0011123F">
        <w:tc>
          <w:tcPr>
            <w:tcW w:w="0" w:type="auto"/>
          </w:tcPr>
          <w:p w14:paraId="53E1AFE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المؤشر</w:t>
            </w:r>
          </w:p>
        </w:tc>
        <w:tc>
          <w:tcPr>
            <w:tcW w:w="0" w:type="auto"/>
          </w:tcPr>
          <w:p w14:paraId="1426461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القيمة</w:t>
            </w:r>
          </w:p>
        </w:tc>
      </w:tr>
      <w:tr w:rsidR="0011123F" w:rsidRPr="0011123F" w14:paraId="4C917153" w14:textId="77777777" w:rsidTr="0011123F">
        <w:tc>
          <w:tcPr>
            <w:tcW w:w="0" w:type="auto"/>
          </w:tcPr>
          <w:p w14:paraId="3839D29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إجمالي الأصول</w:t>
            </w:r>
          </w:p>
        </w:tc>
        <w:tc>
          <w:tcPr>
            <w:tcW w:w="0" w:type="auto"/>
          </w:tcPr>
          <w:p w14:paraId="1D5121F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937 مليار ريال سعودي</w:t>
            </w:r>
          </w:p>
        </w:tc>
      </w:tr>
      <w:tr w:rsidR="0011123F" w:rsidRPr="0011123F" w14:paraId="69DFE86B" w14:textId="77777777" w:rsidTr="0011123F">
        <w:tc>
          <w:tcPr>
            <w:tcW w:w="0" w:type="auto"/>
          </w:tcPr>
          <w:p w14:paraId="02B5608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محفظة التمويل والإقراض</w:t>
            </w:r>
          </w:p>
        </w:tc>
        <w:tc>
          <w:tcPr>
            <w:tcW w:w="0" w:type="auto"/>
          </w:tcPr>
          <w:p w14:paraId="03442F8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612 مليار ريال سعودي</w:t>
            </w:r>
          </w:p>
        </w:tc>
      </w:tr>
      <w:tr w:rsidR="0011123F" w:rsidRPr="0011123F" w14:paraId="4C0B431C" w14:textId="77777777" w:rsidTr="0011123F">
        <w:tc>
          <w:tcPr>
            <w:tcW w:w="0" w:type="auto"/>
          </w:tcPr>
          <w:p w14:paraId="4DE43F4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صافي الربح</w:t>
            </w:r>
          </w:p>
        </w:tc>
        <w:tc>
          <w:tcPr>
            <w:tcW w:w="0" w:type="auto"/>
          </w:tcPr>
          <w:p w14:paraId="485DA83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19.6 مليار ريال سعودي</w:t>
            </w:r>
          </w:p>
        </w:tc>
      </w:tr>
      <w:tr w:rsidR="0011123F" w:rsidRPr="0011123F" w14:paraId="26BE7A35" w14:textId="77777777" w:rsidTr="0011123F">
        <w:tc>
          <w:tcPr>
            <w:tcW w:w="0" w:type="auto"/>
          </w:tcPr>
          <w:p w14:paraId="671A700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حقوق المساهمين</w:t>
            </w:r>
          </w:p>
        </w:tc>
        <w:tc>
          <w:tcPr>
            <w:tcW w:w="0" w:type="auto"/>
          </w:tcPr>
          <w:p w14:paraId="7C49654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130 مليار ريال سعودي</w:t>
            </w:r>
          </w:p>
        </w:tc>
      </w:tr>
      <w:tr w:rsidR="0011123F" w:rsidRPr="0011123F" w14:paraId="6451B68B" w14:textId="77777777" w:rsidTr="0011123F">
        <w:tc>
          <w:tcPr>
            <w:tcW w:w="0" w:type="auto"/>
          </w:tcPr>
          <w:p w14:paraId="7463060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lastRenderedPageBreak/>
              <w:t>نسبة كفاية رأس المال (CAR)</w:t>
            </w:r>
          </w:p>
        </w:tc>
        <w:tc>
          <w:tcPr>
            <w:tcW w:w="0" w:type="auto"/>
          </w:tcPr>
          <w:p w14:paraId="15EA9B3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19.8%</w:t>
            </w:r>
          </w:p>
        </w:tc>
      </w:tr>
      <w:tr w:rsidR="0011123F" w:rsidRPr="0011123F" w14:paraId="305BA572" w14:textId="77777777" w:rsidTr="0011123F">
        <w:tc>
          <w:tcPr>
            <w:tcW w:w="0" w:type="auto"/>
          </w:tcPr>
          <w:p w14:paraId="2DD4CE5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نسبة تغطية السيولة (LCR)</w:t>
            </w:r>
          </w:p>
        </w:tc>
        <w:tc>
          <w:tcPr>
            <w:tcW w:w="0" w:type="auto"/>
          </w:tcPr>
          <w:p w14:paraId="57FD6D6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156%</w:t>
            </w:r>
          </w:p>
        </w:tc>
      </w:tr>
      <w:tr w:rsidR="0011123F" w:rsidRPr="0011123F" w14:paraId="6CA95718" w14:textId="77777777" w:rsidTr="0011123F">
        <w:tc>
          <w:tcPr>
            <w:tcW w:w="0" w:type="auto"/>
          </w:tcPr>
          <w:p w14:paraId="46E6DEC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عدد الفروع</w:t>
            </w:r>
          </w:p>
        </w:tc>
        <w:tc>
          <w:tcPr>
            <w:tcW w:w="0" w:type="auto"/>
          </w:tcPr>
          <w:p w14:paraId="21FC71E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أكثر من 570 فرعاً</w:t>
            </w:r>
          </w:p>
        </w:tc>
      </w:tr>
      <w:tr w:rsidR="0011123F" w:rsidRPr="0011123F" w14:paraId="52FA130D" w14:textId="77777777" w:rsidTr="0011123F">
        <w:tc>
          <w:tcPr>
            <w:tcW w:w="0" w:type="auto"/>
          </w:tcPr>
          <w:p w14:paraId="377F20D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عدد الموظفين</w:t>
            </w:r>
          </w:p>
        </w:tc>
        <w:tc>
          <w:tcPr>
            <w:tcW w:w="0" w:type="auto"/>
          </w:tcPr>
          <w:p w14:paraId="231AB76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أكثر من 24,000 موظف</w:t>
            </w:r>
          </w:p>
        </w:tc>
      </w:tr>
      <w:tr w:rsidR="0011123F" w:rsidRPr="0011123F" w14:paraId="40CBB159" w14:textId="77777777" w:rsidTr="0011123F">
        <w:tc>
          <w:tcPr>
            <w:tcW w:w="0" w:type="auto"/>
          </w:tcPr>
          <w:p w14:paraId="5EB9BB8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الحصة السوقية من إجمالي أصول القطاع</w:t>
            </w:r>
          </w:p>
        </w:tc>
        <w:tc>
          <w:tcPr>
            <w:tcW w:w="0" w:type="auto"/>
          </w:tcPr>
          <w:p w14:paraId="165B1F4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~28%</w:t>
            </w:r>
          </w:p>
        </w:tc>
      </w:tr>
    </w:tbl>
    <w:p w14:paraId="615F72E7" w14:textId="77777777" w:rsidR="0011123F" w:rsidRPr="0011123F" w:rsidRDefault="0011123F" w:rsidP="00540437">
      <w:pPr>
        <w:bidi/>
        <w:rPr>
          <w:rFonts w:ascii="Traditional Arabic" w:hAnsi="Traditional Arabic" w:cs="Traditional Arabic"/>
          <w:b/>
          <w:bCs/>
          <w:sz w:val="32"/>
          <w:szCs w:val="32"/>
        </w:rPr>
      </w:pPr>
      <w:r>
        <w:rPr>
          <w:rFonts w:ascii="Traditional Arabic" w:hAnsi="Traditional Arabic" w:cs="Traditional Arabic"/>
          <w:b/>
          <w:bCs/>
          <w:sz w:val="32"/>
          <w:szCs w:val="32"/>
          <w:rtl/>
        </w:rPr>
        <w:t>المصدر: من إعداد الطالب بناءً على التقرير السنوي للبنك الأهلي السعودي اعتماداً على التقرير</w:t>
      </w:r>
    </w:p>
    <w:p w14:paraId="25C80460" w14:textId="77777777" w:rsidR="005165F7" w:rsidRDefault="005165F7" w:rsidP="00540437">
      <w:pPr>
        <w:pStyle w:val="Sansinterligne"/>
        <w:bidi/>
        <w:rPr>
          <w:rFonts w:ascii="Traditional Arabic" w:hAnsi="Traditional Arabic" w:cs="Traditional Arabic"/>
          <w:sz w:val="32"/>
          <w:szCs w:val="32"/>
          <w:rtl/>
        </w:rPr>
      </w:pPr>
      <w:bookmarkStart w:id="15" w:name="ثانيا-الهيكل-التنظيمي"/>
      <w:bookmarkEnd w:id="13"/>
      <w:r>
        <w:rPr>
          <w:rFonts w:ascii="Traditional Arabic" w:hAnsi="Traditional Arabic" w:cs="Traditional Arabic"/>
          <w:sz w:val="32"/>
          <w:szCs w:val="32"/>
          <w:rtl/>
        </w:rPr>
        <w:t xml:space="preserve">تُظهر البيانات المالية الكمية والمؤشرات الاحترازية للبنك الأهلي السعودي المستعرضة في الجدول رقم (2) لعام 2023، الملاءة المالية المرتفعة والمكانة القيادية التي </w:t>
      </w:r>
      <w:proofErr w:type="spellStart"/>
      <w:r>
        <w:rPr>
          <w:rFonts w:ascii="Traditional Arabic" w:hAnsi="Traditional Arabic" w:cs="Traditional Arabic"/>
          <w:sz w:val="32"/>
          <w:szCs w:val="32"/>
          <w:rtl/>
        </w:rPr>
        <w:t>يتبوأها</w:t>
      </w:r>
      <w:proofErr w:type="spellEnd"/>
      <w:r>
        <w:rPr>
          <w:rFonts w:ascii="Traditional Arabic" w:hAnsi="Traditional Arabic" w:cs="Traditional Arabic"/>
          <w:sz w:val="32"/>
          <w:szCs w:val="32"/>
          <w:rtl/>
        </w:rPr>
        <w:t xml:space="preserve"> الكيان في القطاع المصرفي للمملكة. فبلوغ إجمالي الأصول قيمة 937 مليار ريال سعودي، بالتوازي مع هيمنته على حصة سوقية تُقدر بحوالي 28% من إجمالي أصول القطاع، يرسخ دور البنك كركيزة أساسية للاستقرار المالي ومحرك رئيسي للتنمية الاقتصادية. وتنعكس الكفاءة التشغيلية والائتمانية للبنك في حجم محفظة التمويل والإقراض التي بلغت 612 مليار ريال سعودي، والتي تُرجمت إلى تحقيق صافي ربح قوي ناهز 19.6 مليار ريال سعودي، مدعوماً بقاعدة صلبة لحقوق المساهمين بلغت 130 مليار ريال سعودي. ومن المنظور الاحترازي وإدارة المخاطر، تكشف المؤشرات عن تحصين هيكلي متين؛ حيث سجلت نسبة كفاية رأس المال</w:t>
      </w:r>
      <w:r>
        <w:rPr>
          <w:rFonts w:ascii="Traditional Arabic" w:hAnsi="Traditional Arabic" w:cs="Traditional Arabic"/>
          <w:sz w:val="32"/>
          <w:szCs w:val="32"/>
        </w:rPr>
        <w:t xml:space="preserve"> (CAR) </w:t>
      </w:r>
      <w:r>
        <w:rPr>
          <w:rFonts w:ascii="Traditional Arabic" w:hAnsi="Traditional Arabic" w:cs="Traditional Arabic"/>
          <w:sz w:val="32"/>
          <w:szCs w:val="32"/>
          <w:rtl/>
        </w:rPr>
        <w:t>ما قيمته 19.8%، وهي نسبة تتجاوز بكثير المتطلبات الأدنى المحددة في مقررات بازل 3 والبنك المركزي السعودي</w:t>
      </w:r>
      <w:r>
        <w:rPr>
          <w:rFonts w:ascii="Traditional Arabic" w:hAnsi="Traditional Arabic" w:cs="Traditional Arabic"/>
          <w:sz w:val="32"/>
          <w:szCs w:val="32"/>
        </w:rPr>
        <w:t xml:space="preserve"> (SAMA)</w:t>
      </w:r>
      <w:r>
        <w:rPr>
          <w:rFonts w:ascii="Traditional Arabic" w:hAnsi="Traditional Arabic" w:cs="Traditional Arabic"/>
          <w:sz w:val="32"/>
          <w:szCs w:val="32"/>
          <w:rtl/>
        </w:rPr>
        <w:t>، كما تعززت هذه النظرة الآمنة بارتفاع نسبة تغطية السيولة</w:t>
      </w:r>
      <w:r>
        <w:rPr>
          <w:rFonts w:ascii="Traditional Arabic" w:hAnsi="Traditional Arabic" w:cs="Traditional Arabic"/>
          <w:sz w:val="32"/>
          <w:szCs w:val="32"/>
        </w:rPr>
        <w:t xml:space="preserve"> (LCR) </w:t>
      </w:r>
      <w:r>
        <w:rPr>
          <w:rFonts w:ascii="Traditional Arabic" w:hAnsi="Traditional Arabic" w:cs="Traditional Arabic"/>
          <w:sz w:val="32"/>
          <w:szCs w:val="32"/>
          <w:rtl/>
        </w:rPr>
        <w:t>لتصل إلى 156%، مما يعكس قدرة فائقة على مواجهة الصدمات وسداد الالتزامات قصيرة الأجل. ويتكامل هذا الأداء المالي المتفوق مع بنية تحتية بشرية وجغرافية ضخمة تتمثل في شبكة فروع تتجاوز 570 فرعاً وقوة عاملة تفوق 24,000 موظف، مما يبرهن على قدرة البنك على الموازنة الاستراتيجية بين التوسع التشغيلي العملاق وتحقيق الكفاءة الربحية والتحوط المالي المستدام</w:t>
      </w:r>
      <w:r>
        <w:rPr>
          <w:rFonts w:ascii="Traditional Arabic" w:hAnsi="Traditional Arabic" w:cs="Traditional Arabic" w:hint="cs"/>
          <w:sz w:val="32"/>
          <w:szCs w:val="32"/>
          <w:rtl/>
        </w:rPr>
        <w:t>.</w:t>
      </w:r>
    </w:p>
    <w:p w14:paraId="055CA567" w14:textId="77777777" w:rsidR="00AB5CCB" w:rsidRDefault="00AB5CCB" w:rsidP="00540437">
      <w:pPr>
        <w:pStyle w:val="Sansinterligne"/>
        <w:bidi/>
        <w:rPr>
          <w:rFonts w:ascii="Traditional Arabic" w:hAnsi="Traditional Arabic" w:cs="Traditional Arabic"/>
          <w:b/>
          <w:bCs/>
          <w:sz w:val="32"/>
          <w:szCs w:val="32"/>
          <w:rtl/>
        </w:rPr>
      </w:pPr>
    </w:p>
    <w:p w14:paraId="4E4221AE" w14:textId="77777777" w:rsidR="00AB5CCB" w:rsidRDefault="00AB5CCB" w:rsidP="00540437">
      <w:pPr>
        <w:pStyle w:val="Sansinterligne"/>
        <w:bidi/>
        <w:rPr>
          <w:rFonts w:ascii="Traditional Arabic" w:hAnsi="Traditional Arabic" w:cs="Traditional Arabic"/>
          <w:b/>
          <w:bCs/>
          <w:sz w:val="32"/>
          <w:szCs w:val="32"/>
          <w:rtl/>
        </w:rPr>
      </w:pPr>
    </w:p>
    <w:p w14:paraId="5A12F211" w14:textId="77777777" w:rsidR="00AB5CCB" w:rsidRDefault="00AB5CCB" w:rsidP="00540437">
      <w:pPr>
        <w:pStyle w:val="Sansinterligne"/>
        <w:bidi/>
        <w:rPr>
          <w:rFonts w:ascii="Traditional Arabic" w:hAnsi="Traditional Arabic" w:cs="Traditional Arabic"/>
          <w:b/>
          <w:bCs/>
          <w:sz w:val="32"/>
          <w:szCs w:val="32"/>
          <w:rtl/>
        </w:rPr>
      </w:pPr>
    </w:p>
    <w:p w14:paraId="23DD588F" w14:textId="77777777" w:rsidR="00AB5CCB" w:rsidRDefault="00AB5CCB" w:rsidP="00540437">
      <w:pPr>
        <w:pStyle w:val="Sansinterligne"/>
        <w:bidi/>
        <w:rPr>
          <w:rFonts w:ascii="Traditional Arabic" w:hAnsi="Traditional Arabic" w:cs="Traditional Arabic"/>
          <w:b/>
          <w:bCs/>
          <w:sz w:val="32"/>
          <w:szCs w:val="32"/>
          <w:rtl/>
        </w:rPr>
      </w:pPr>
    </w:p>
    <w:p w14:paraId="7D9B2C61" w14:textId="77777777" w:rsidR="00AB5CCB" w:rsidRDefault="00AB5CCB" w:rsidP="00540437">
      <w:pPr>
        <w:pStyle w:val="Sansinterligne"/>
        <w:bidi/>
        <w:rPr>
          <w:rFonts w:ascii="Traditional Arabic" w:hAnsi="Traditional Arabic" w:cs="Traditional Arabic"/>
          <w:b/>
          <w:bCs/>
          <w:sz w:val="32"/>
          <w:szCs w:val="32"/>
          <w:rtl/>
        </w:rPr>
      </w:pPr>
    </w:p>
    <w:p w14:paraId="45027B8D" w14:textId="77777777" w:rsidR="00AB5CCB" w:rsidRDefault="00AB5CCB" w:rsidP="00540437">
      <w:pPr>
        <w:pStyle w:val="Sansinterligne"/>
        <w:bidi/>
        <w:rPr>
          <w:rFonts w:ascii="Traditional Arabic" w:hAnsi="Traditional Arabic" w:cs="Traditional Arabic"/>
          <w:b/>
          <w:bCs/>
          <w:sz w:val="32"/>
          <w:szCs w:val="32"/>
          <w:rtl/>
        </w:rPr>
      </w:pPr>
    </w:p>
    <w:p w14:paraId="0B4AA2DF" w14:textId="77777777" w:rsidR="00AB5CCB" w:rsidRDefault="00AB5CCB" w:rsidP="00540437">
      <w:pPr>
        <w:pStyle w:val="Sansinterligne"/>
        <w:bidi/>
        <w:rPr>
          <w:rFonts w:ascii="Traditional Arabic" w:hAnsi="Traditional Arabic" w:cs="Traditional Arabic"/>
          <w:b/>
          <w:bCs/>
          <w:sz w:val="32"/>
          <w:szCs w:val="32"/>
          <w:rtl/>
        </w:rPr>
      </w:pPr>
    </w:p>
    <w:p w14:paraId="495705E6" w14:textId="77777777" w:rsidR="00AB5CCB" w:rsidRDefault="00AB5CCB" w:rsidP="00540437">
      <w:pPr>
        <w:pStyle w:val="Sansinterligne"/>
        <w:bidi/>
        <w:rPr>
          <w:rFonts w:ascii="Traditional Arabic" w:hAnsi="Traditional Arabic" w:cs="Traditional Arabic"/>
          <w:b/>
          <w:bCs/>
          <w:sz w:val="32"/>
          <w:szCs w:val="32"/>
          <w:rtl/>
        </w:rPr>
      </w:pPr>
    </w:p>
    <w:p w14:paraId="2A8A2DEF" w14:textId="77777777" w:rsidR="00AB5CCB" w:rsidRDefault="00AB5CCB" w:rsidP="00540437">
      <w:pPr>
        <w:pStyle w:val="Sansinterligne"/>
        <w:bidi/>
        <w:rPr>
          <w:rFonts w:ascii="Traditional Arabic" w:hAnsi="Traditional Arabic" w:cs="Traditional Arabic"/>
          <w:b/>
          <w:bCs/>
          <w:sz w:val="32"/>
          <w:szCs w:val="32"/>
          <w:rtl/>
        </w:rPr>
      </w:pPr>
    </w:p>
    <w:p w14:paraId="1210FA73" w14:textId="77777777" w:rsidR="00AB5CCB" w:rsidRDefault="00AB5CCB" w:rsidP="00540437">
      <w:pPr>
        <w:pStyle w:val="Sansinterligne"/>
        <w:bidi/>
        <w:rPr>
          <w:rFonts w:ascii="Traditional Arabic" w:hAnsi="Traditional Arabic" w:cs="Traditional Arabic"/>
          <w:b/>
          <w:bCs/>
          <w:sz w:val="32"/>
          <w:szCs w:val="32"/>
          <w:rtl/>
        </w:rPr>
      </w:pPr>
    </w:p>
    <w:p w14:paraId="7E5C83DB" w14:textId="77777777" w:rsidR="0011123F" w:rsidRPr="005165F7" w:rsidRDefault="0011123F" w:rsidP="00540437">
      <w:pPr>
        <w:pStyle w:val="Sansinterligne"/>
        <w:bidi/>
        <w:rPr>
          <w:rFonts w:ascii="Traditional Arabic" w:hAnsi="Traditional Arabic" w:cs="Traditional Arabic"/>
          <w:sz w:val="36"/>
          <w:szCs w:val="36"/>
        </w:rPr>
      </w:pPr>
      <w:proofErr w:type="gramStart"/>
      <w:r>
        <w:rPr>
          <w:rFonts w:ascii="Traditional Arabic" w:hAnsi="Traditional Arabic" w:cs="Traditional Arabic" w:hint="cs"/>
          <w:b/>
          <w:bCs/>
          <w:sz w:val="32"/>
          <w:szCs w:val="32"/>
          <w:rtl/>
        </w:rPr>
        <w:t xml:space="preserve">ثانيا  </w:t>
      </w:r>
      <w:r>
        <w:rPr>
          <w:rFonts w:ascii="Traditional Arabic" w:hAnsi="Traditional Arabic" w:cs="Traditional Arabic"/>
          <w:b/>
          <w:bCs/>
          <w:sz w:val="32"/>
          <w:szCs w:val="32"/>
          <w:rtl/>
        </w:rPr>
        <w:t>:</w:t>
      </w:r>
      <w:proofErr w:type="gramEnd"/>
      <w:r>
        <w:rPr>
          <w:rFonts w:ascii="Traditional Arabic" w:hAnsi="Traditional Arabic" w:cs="Traditional Arabic"/>
          <w:b/>
          <w:bCs/>
          <w:sz w:val="32"/>
          <w:szCs w:val="32"/>
          <w:rtl/>
        </w:rPr>
        <w:t xml:space="preserve"> الهيكل التنظيمي</w:t>
      </w:r>
    </w:p>
    <w:p w14:paraId="3E3B701B" w14:textId="77777777" w:rsidR="0011123F" w:rsidRPr="0011123F" w:rsidRDefault="0011123F" w:rsidP="00540437">
      <w:pPr>
        <w:bidi/>
        <w:rPr>
          <w:rFonts w:ascii="Traditional Arabic" w:hAnsi="Traditional Arabic" w:cs="Traditional Arabic"/>
          <w:b/>
          <w:bCs/>
          <w:sz w:val="32"/>
          <w:szCs w:val="32"/>
          <w:rtl/>
        </w:rPr>
      </w:pPr>
      <w:r>
        <w:rPr>
          <w:rFonts w:ascii="Traditional Arabic" w:hAnsi="Traditional Arabic" w:cs="Traditional Arabic"/>
          <w:b/>
          <w:bCs/>
          <w:noProof/>
          <w:sz w:val="32"/>
          <w:szCs w:val="32"/>
        </w:rPr>
        <w:drawing>
          <wp:inline distT="0" distB="0" distL="0" distR="0" wp14:anchorId="53B4BBA9" wp14:editId="57901677">
            <wp:extent cx="5758937" cy="2809875"/>
            <wp:effectExtent l="0" t="0" r="0" b="0"/>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BEBA8EAE-BF5A-486C-A8C5-ECC9F3942E4B}">
                          <a14:imgProps xmlns:a14="http://schemas.microsoft.com/office/drawing/2010/main">
                            <a14:imgLayer r:embed="rId2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68405" cy="2814495"/>
                    </a:xfrm>
                    <a:prstGeom prst="rect">
                      <a:avLst/>
                    </a:prstGeom>
                    <a:noFill/>
                  </pic:spPr>
                </pic:pic>
              </a:graphicData>
            </a:graphic>
          </wp:inline>
        </w:drawing>
      </w:r>
    </w:p>
    <w:p w14:paraId="094885EB" w14:textId="46F8E635" w:rsidR="0011123F" w:rsidRPr="0011123F" w:rsidRDefault="00242401" w:rsidP="00242401">
      <w:pPr>
        <w:pStyle w:val="Lgende"/>
        <w:bidi/>
        <w:rPr>
          <w:sz w:val="32"/>
          <w:szCs w:val="32"/>
        </w:rPr>
      </w:pPr>
      <w:bookmarkStart w:id="16" w:name="_Toc231638588"/>
      <w:r>
        <w:rPr>
          <w:rtl/>
        </w:rPr>
        <w:t xml:space="preserve">الشكل رقم </w:t>
      </w:r>
      <w:r w:rsidR="009248E3">
        <w:fldChar w:fldCharType="begin"/>
      </w:r>
      <w:r w:rsidR="009248E3">
        <w:instrText xml:space="preserve"> SEQ </w:instrText>
      </w:r>
      <w:r w:rsidR="009248E3">
        <w:rPr>
          <w:rtl/>
        </w:rPr>
        <w:instrText>الشكل_رقم</w:instrText>
      </w:r>
      <w:r w:rsidR="009248E3">
        <w:instrText xml:space="preserve"> \* ARABIC </w:instrText>
      </w:r>
      <w:r w:rsidR="009248E3">
        <w:fldChar w:fldCharType="separate"/>
      </w:r>
      <w:r w:rsidR="00317D7C">
        <w:rPr>
          <w:noProof/>
        </w:rPr>
        <w:t>1</w:t>
      </w:r>
      <w:r w:rsidR="009248E3">
        <w:rPr>
          <w:noProof/>
        </w:rPr>
        <w:fldChar w:fldCharType="end"/>
      </w:r>
      <w:r>
        <w:rPr>
          <w:noProof/>
          <w:lang w:val="fr-FR"/>
        </w:rPr>
        <w:t xml:space="preserve"> </w:t>
      </w:r>
      <w:r w:rsidRPr="009402CB">
        <w:rPr>
          <w:noProof/>
          <w:rtl/>
          <w:lang w:val="fr-FR"/>
        </w:rPr>
        <w:t>الهيكل التنظيمي المبسّط للبنك الأهلي السعودي</w:t>
      </w:r>
      <w:bookmarkEnd w:id="16"/>
    </w:p>
    <w:p w14:paraId="3E462E23" w14:textId="0304CF0A" w:rsidR="0011123F" w:rsidRDefault="007021DA" w:rsidP="00540437">
      <w:pPr>
        <w:pStyle w:val="Titre3"/>
        <w:bidi/>
        <w:spacing w:after="0" w:afterAutospacing="0"/>
        <w:rPr>
          <w:rFonts w:ascii="Traditional Arabic" w:hAnsi="Traditional Arabic" w:cs="Traditional Arabic"/>
          <w:b w:val="0"/>
          <w:bCs w:val="0"/>
          <w:sz w:val="32"/>
          <w:szCs w:val="32"/>
        </w:rPr>
      </w:pPr>
      <w:bookmarkStart w:id="17" w:name="X80c58a3dd9c45eb6578dd5ffe460fd1c22e0d9b"/>
      <w:bookmarkEnd w:id="12"/>
      <w:bookmarkEnd w:id="15"/>
      <w:r>
        <w:rPr>
          <w:rFonts w:ascii="Traditional Arabic" w:hAnsi="Traditional Arabic" w:cs="Traditional Arabic"/>
          <w:b w:val="0"/>
          <w:bCs w:val="0"/>
          <w:sz w:val="32"/>
          <w:szCs w:val="32"/>
          <w:rtl/>
        </w:rPr>
        <w:t>يُعبر الشكل التنظيمي المبسط رقم (1) عن الهيكلية الإدارية والوظيفية العليا التي تدير العمليات الاستراتيجية والتشغيلية في البنك الأهلي السعودي، مبرزاً خطوط السلطة والحوكمة المؤسسية التي تشرف على أدوات الهندسة المالية. وتوضح اللوحة الهيكلية خضوع الإدارة التنفيذية بالكامل لسلطة 'مجلس الإدارة</w:t>
      </w:r>
      <w:r>
        <w:rPr>
          <w:rFonts w:ascii="Traditional Arabic" w:hAnsi="Traditional Arabic" w:cs="Traditional Arabic"/>
          <w:b w:val="0"/>
          <w:bCs w:val="0"/>
          <w:sz w:val="32"/>
          <w:szCs w:val="32"/>
        </w:rPr>
        <w:t xml:space="preserve"> </w:t>
      </w:r>
      <w:r>
        <w:rPr>
          <w:rFonts w:ascii="Traditional Arabic" w:hAnsi="Traditional Arabic" w:cs="Traditional Arabic" w:hint="cs"/>
          <w:b w:val="0"/>
          <w:bCs w:val="0"/>
          <w:sz w:val="32"/>
          <w:szCs w:val="32"/>
          <w:rtl/>
        </w:rPr>
        <w:t>(</w:t>
      </w:r>
      <w:r>
        <w:rPr>
          <w:rFonts w:ascii="Traditional Arabic" w:hAnsi="Traditional Arabic" w:cs="Traditional Arabic"/>
          <w:b w:val="0"/>
          <w:bCs w:val="0"/>
          <w:sz w:val="32"/>
          <w:szCs w:val="32"/>
        </w:rPr>
        <w:t>Board\ of\ Directors</w:t>
      </w:r>
      <w:r>
        <w:rPr>
          <w:rFonts w:ascii="Traditional Arabic" w:hAnsi="Traditional Arabic" w:cs="Traditional Arabic" w:hint="cs"/>
          <w:b w:val="0"/>
          <w:bCs w:val="0"/>
          <w:sz w:val="32"/>
          <w:szCs w:val="32"/>
          <w:rtl/>
        </w:rPr>
        <w:t>)</w:t>
      </w:r>
      <w:r>
        <w:rPr>
          <w:rFonts w:ascii="Traditional Arabic" w:hAnsi="Traditional Arabic" w:cs="Traditional Arabic"/>
          <w:b w:val="0"/>
          <w:bCs w:val="0"/>
          <w:sz w:val="32"/>
          <w:szCs w:val="32"/>
        </w:rPr>
        <w:t xml:space="preserve">' </w:t>
      </w:r>
      <w:r>
        <w:rPr>
          <w:rFonts w:ascii="Traditional Arabic" w:hAnsi="Traditional Arabic" w:cs="Traditional Arabic"/>
          <w:b w:val="0"/>
          <w:bCs w:val="0"/>
          <w:sz w:val="32"/>
          <w:szCs w:val="32"/>
          <w:rtl/>
        </w:rPr>
        <w:t>المسؤول عن إقرار الخطط التوسعية والائتمانية الكبرى، والذي يشرف مباشرة على 'الرئيس التنفيذي للمجموعة</w:t>
      </w:r>
      <w:r>
        <w:rPr>
          <w:rFonts w:ascii="Traditional Arabic" w:hAnsi="Traditional Arabic" w:cs="Traditional Arabic"/>
          <w:b w:val="0"/>
          <w:bCs w:val="0"/>
          <w:sz w:val="32"/>
          <w:szCs w:val="32"/>
        </w:rPr>
        <w:t xml:space="preserve"> (Group\ CEO)' </w:t>
      </w:r>
      <w:r>
        <w:rPr>
          <w:rFonts w:ascii="Traditional Arabic" w:hAnsi="Traditional Arabic" w:cs="Traditional Arabic"/>
          <w:b w:val="0"/>
          <w:bCs w:val="0"/>
          <w:sz w:val="32"/>
          <w:szCs w:val="32"/>
          <w:rtl/>
        </w:rPr>
        <w:t xml:space="preserve">كمحرك أساسي للعمليات التشغيلية. وتتفرع تحت سلطة الرئيس التنفيذي القطاعات الأساسية للمجموعة والتي تشمل: 'قطاع الخزينة والأسواق المالية'، و'قطاع الشركات والمؤسسات'، و'قطاع التجزئة والأفراد'. ومن الناحية التشغيلية التطبيقية، يظهر الهيكل بوضوح تموضع 'وحدة إصدار الصكوك والتوريق المصرفي' كذراع فنية متخصصة تابعة تنظيمياً </w:t>
      </w:r>
      <w:proofErr w:type="spellStart"/>
      <w:r>
        <w:rPr>
          <w:rFonts w:ascii="Traditional Arabic" w:hAnsi="Traditional Arabic" w:cs="Traditional Arabic"/>
          <w:b w:val="0"/>
          <w:bCs w:val="0"/>
          <w:sz w:val="32"/>
          <w:szCs w:val="32"/>
          <w:rtl/>
        </w:rPr>
        <w:t>وتدفقياً</w:t>
      </w:r>
      <w:proofErr w:type="spellEnd"/>
      <w:r>
        <w:rPr>
          <w:rFonts w:ascii="Traditional Arabic" w:hAnsi="Traditional Arabic" w:cs="Traditional Arabic"/>
          <w:b w:val="0"/>
          <w:bCs w:val="0"/>
          <w:sz w:val="32"/>
          <w:szCs w:val="32"/>
          <w:rtl/>
        </w:rPr>
        <w:t xml:space="preserve"> لـ 'قطاع التجزئة والأفراد'. هذا التموضع الاستراتيجي للوحدة يبرهن على أن برامج التوريق في البنك ترتبط ارتباطاً وثيقاً بمحافل التمويل العقاري والشخصي الموجهة للأفراد، مما يُتيح للوحدة فرز ومراقبة وتوريق تلك الأصول بشكل فوري ومباشر من منشئها الأساسي، تحت الإشراف العام لقطاع الخزينة لإعادة التوازن المالي للمركز المصرفي</w:t>
      </w:r>
      <w:r>
        <w:rPr>
          <w:rFonts w:ascii="Traditional Arabic" w:hAnsi="Traditional Arabic" w:cs="Traditional Arabic"/>
          <w:b w:val="0"/>
          <w:bCs w:val="0"/>
          <w:sz w:val="32"/>
          <w:szCs w:val="32"/>
        </w:rPr>
        <w:t>."</w:t>
      </w:r>
    </w:p>
    <w:p w14:paraId="6A87668E" w14:textId="67765111" w:rsidR="00242401" w:rsidRDefault="00242401" w:rsidP="00242401">
      <w:pPr>
        <w:pStyle w:val="Titre3"/>
        <w:bidi/>
        <w:spacing w:after="0" w:afterAutospacing="0"/>
        <w:rPr>
          <w:rFonts w:ascii="Traditional Arabic" w:hAnsi="Traditional Arabic" w:cs="Traditional Arabic"/>
          <w:b w:val="0"/>
          <w:bCs w:val="0"/>
          <w:sz w:val="32"/>
          <w:szCs w:val="32"/>
        </w:rPr>
      </w:pPr>
    </w:p>
    <w:p w14:paraId="4110F735" w14:textId="77777777" w:rsidR="00242401" w:rsidRDefault="00242401" w:rsidP="00242401">
      <w:pPr>
        <w:pStyle w:val="Titre3"/>
        <w:bidi/>
        <w:spacing w:after="0" w:afterAutospacing="0"/>
        <w:rPr>
          <w:rFonts w:ascii="Traditional Arabic" w:hAnsi="Traditional Arabic" w:cs="Traditional Arabic"/>
          <w:b w:val="0"/>
          <w:bCs w:val="0"/>
          <w:sz w:val="32"/>
          <w:szCs w:val="32"/>
          <w:rtl/>
        </w:rPr>
      </w:pPr>
    </w:p>
    <w:p w14:paraId="2564BD2C" w14:textId="77777777" w:rsidR="0011123F" w:rsidRPr="0011123F" w:rsidRDefault="0011123F" w:rsidP="00540437">
      <w:pPr>
        <w:pStyle w:val="Titre3"/>
        <w:bidi/>
        <w:spacing w:after="0" w:afterAutospacing="0"/>
        <w:rPr>
          <w:rFonts w:ascii="Traditional Arabic" w:hAnsi="Traditional Arabic" w:cs="Traditional Arabic"/>
          <w:sz w:val="40"/>
          <w:szCs w:val="40"/>
        </w:rPr>
      </w:pPr>
      <w:r>
        <w:rPr>
          <w:rFonts w:ascii="Traditional Arabic" w:hAnsi="Traditional Arabic" w:cs="Traditional Arabic"/>
          <w:sz w:val="40"/>
          <w:szCs w:val="40"/>
          <w:rtl/>
        </w:rPr>
        <w:lastRenderedPageBreak/>
        <w:t>المطلب الثالث: البيئة التشريعية المنظِّمة للتوريق في السعودية</w:t>
      </w:r>
    </w:p>
    <w:p w14:paraId="24BA0D43" w14:textId="77777777" w:rsidR="0011123F" w:rsidRPr="0011123F" w:rsidRDefault="0011123F" w:rsidP="00540437">
      <w:pPr>
        <w:bidi/>
        <w:spacing w:after="0" w:line="240" w:lineRule="auto"/>
        <w:ind w:firstLine="720"/>
        <w:rPr>
          <w:rFonts w:ascii="Traditional Arabic" w:hAnsi="Traditional Arabic" w:cs="Traditional Arabic"/>
          <w:sz w:val="32"/>
          <w:szCs w:val="32"/>
        </w:rPr>
      </w:pPr>
      <w:r>
        <w:rPr>
          <w:rFonts w:ascii="Traditional Arabic" w:hAnsi="Traditional Arabic" w:cs="Traditional Arabic"/>
          <w:sz w:val="32"/>
          <w:szCs w:val="32"/>
          <w:rtl/>
        </w:rPr>
        <w:t>يُعدّ الإطار التشريعي السعودي من أكثر الأطر العربية نضجاً في تنظيم عمليات التوريق، وقد ساهم إسهاماً جوهرياً في تمكين البنك الأهلي السعودي من ممارسة هذه الأداة المالية بكفاءة وثقة.</w:t>
      </w:r>
    </w:p>
    <w:p w14:paraId="109B99BC" w14:textId="324E9562" w:rsidR="0011123F" w:rsidRPr="0011123F" w:rsidRDefault="00242401" w:rsidP="00242401">
      <w:pPr>
        <w:pStyle w:val="Lgende"/>
        <w:bidi/>
        <w:rPr>
          <w:sz w:val="32"/>
          <w:szCs w:val="32"/>
        </w:rPr>
      </w:pPr>
      <w:bookmarkStart w:id="18" w:name="_Toc231638649"/>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6</w:t>
      </w:r>
      <w:r w:rsidR="009248E3">
        <w:rPr>
          <w:noProof/>
        </w:rPr>
        <w:fldChar w:fldCharType="end"/>
      </w:r>
      <w:r>
        <w:rPr>
          <w:noProof/>
          <w:lang w:val="fr-FR"/>
        </w:rPr>
        <w:t xml:space="preserve"> </w:t>
      </w:r>
      <w:r w:rsidRPr="00CA392F">
        <w:rPr>
          <w:noProof/>
          <w:rtl/>
          <w:lang w:val="fr-FR"/>
        </w:rPr>
        <w:t>أهم النصوص التشريعية المنظِّمة للتوريق في المملكة العربية السعودية</w:t>
      </w:r>
      <w:bookmarkEnd w:id="18"/>
    </w:p>
    <w:tbl>
      <w:tblPr>
        <w:tblStyle w:val="Grilledutableau"/>
        <w:bidiVisual/>
        <w:tblW w:w="5000" w:type="pct"/>
        <w:tblLayout w:type="fixed"/>
        <w:tblLook w:val="0020" w:firstRow="1" w:lastRow="0" w:firstColumn="0" w:lastColumn="0" w:noHBand="0" w:noVBand="0"/>
      </w:tblPr>
      <w:tblGrid>
        <w:gridCol w:w="2901"/>
        <w:gridCol w:w="2537"/>
        <w:gridCol w:w="1268"/>
        <w:gridCol w:w="2356"/>
      </w:tblGrid>
      <w:tr w:rsidR="0011123F" w:rsidRPr="0011123F" w14:paraId="05BE3AE6" w14:textId="77777777" w:rsidTr="0011123F">
        <w:tc>
          <w:tcPr>
            <w:tcW w:w="2534" w:type="dxa"/>
          </w:tcPr>
          <w:p w14:paraId="3C65855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الجهة المُصدِرة</w:t>
            </w:r>
          </w:p>
        </w:tc>
        <w:tc>
          <w:tcPr>
            <w:tcW w:w="2217" w:type="dxa"/>
          </w:tcPr>
          <w:p w14:paraId="1DB8E50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النص التشريعي</w:t>
            </w:r>
          </w:p>
        </w:tc>
        <w:tc>
          <w:tcPr>
            <w:tcW w:w="1108" w:type="dxa"/>
          </w:tcPr>
          <w:p w14:paraId="5936D42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السنة</w:t>
            </w:r>
          </w:p>
        </w:tc>
        <w:tc>
          <w:tcPr>
            <w:tcW w:w="2059" w:type="dxa"/>
          </w:tcPr>
          <w:p w14:paraId="2776704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أهم مضامينه</w:t>
            </w:r>
          </w:p>
        </w:tc>
      </w:tr>
      <w:tr w:rsidR="0011123F" w:rsidRPr="0011123F" w14:paraId="694C4234" w14:textId="77777777" w:rsidTr="0011123F">
        <w:tc>
          <w:tcPr>
            <w:tcW w:w="2534" w:type="dxa"/>
          </w:tcPr>
          <w:p w14:paraId="6DE63AA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هيئة السوق المالية (CMA)</w:t>
            </w:r>
          </w:p>
        </w:tc>
        <w:tc>
          <w:tcPr>
            <w:tcW w:w="2217" w:type="dxa"/>
          </w:tcPr>
          <w:p w14:paraId="346431B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نظام إصدار الصكوك والأدوات الدين</w:t>
            </w:r>
          </w:p>
        </w:tc>
        <w:tc>
          <w:tcPr>
            <w:tcW w:w="1108" w:type="dxa"/>
          </w:tcPr>
          <w:p w14:paraId="02D423C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2010</w:t>
            </w:r>
          </w:p>
        </w:tc>
        <w:tc>
          <w:tcPr>
            <w:tcW w:w="2059" w:type="dxa"/>
          </w:tcPr>
          <w:p w14:paraId="1F6E660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تنظيم إصدار الأوراق المالية المدعومة بالأصول</w:t>
            </w:r>
          </w:p>
        </w:tc>
      </w:tr>
      <w:tr w:rsidR="0011123F" w:rsidRPr="0011123F" w14:paraId="46A6F27F" w14:textId="77777777" w:rsidTr="0011123F">
        <w:tc>
          <w:tcPr>
            <w:tcW w:w="2534" w:type="dxa"/>
          </w:tcPr>
          <w:p w14:paraId="2D94AFD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البنك المركزي السعودي (ساما)</w:t>
            </w:r>
          </w:p>
        </w:tc>
        <w:tc>
          <w:tcPr>
            <w:tcW w:w="2217" w:type="dxa"/>
          </w:tcPr>
          <w:p w14:paraId="3C29A01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لوائح متطلبات رأس المال</w:t>
            </w:r>
          </w:p>
        </w:tc>
        <w:tc>
          <w:tcPr>
            <w:tcW w:w="1108" w:type="dxa"/>
          </w:tcPr>
          <w:p w14:paraId="23F08BC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2014</w:t>
            </w:r>
          </w:p>
        </w:tc>
        <w:tc>
          <w:tcPr>
            <w:tcW w:w="2059" w:type="dxa"/>
          </w:tcPr>
          <w:p w14:paraId="5E2EDB7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ضبط الأصول المرجّحة بالمخاطر بعد التوريق</w:t>
            </w:r>
          </w:p>
        </w:tc>
      </w:tr>
      <w:tr w:rsidR="0011123F" w:rsidRPr="0011123F" w14:paraId="1EF9FA61" w14:textId="77777777" w:rsidTr="0011123F">
        <w:tc>
          <w:tcPr>
            <w:tcW w:w="2534" w:type="dxa"/>
          </w:tcPr>
          <w:p w14:paraId="0DB1D2C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هيئة السوق المالية</w:t>
            </w:r>
          </w:p>
        </w:tc>
        <w:tc>
          <w:tcPr>
            <w:tcW w:w="2217" w:type="dxa"/>
          </w:tcPr>
          <w:p w14:paraId="79F09BB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لوائح شركات الأغراض الخاصة (SPV)</w:t>
            </w:r>
          </w:p>
        </w:tc>
        <w:tc>
          <w:tcPr>
            <w:tcW w:w="1108" w:type="dxa"/>
          </w:tcPr>
          <w:p w14:paraId="1E92EA3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2017</w:t>
            </w:r>
          </w:p>
        </w:tc>
        <w:tc>
          <w:tcPr>
            <w:tcW w:w="2059" w:type="dxa"/>
          </w:tcPr>
          <w:p w14:paraId="053009F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إطار قانوني لإنشاء شركات التوريق المستقلة</w:t>
            </w:r>
          </w:p>
        </w:tc>
      </w:tr>
      <w:tr w:rsidR="0011123F" w:rsidRPr="0011123F" w14:paraId="176B0D03" w14:textId="77777777" w:rsidTr="0011123F">
        <w:tc>
          <w:tcPr>
            <w:tcW w:w="2534" w:type="dxa"/>
          </w:tcPr>
          <w:p w14:paraId="77072BE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هيئة السوق المالية</w:t>
            </w:r>
          </w:p>
        </w:tc>
        <w:tc>
          <w:tcPr>
            <w:tcW w:w="2217" w:type="dxa"/>
          </w:tcPr>
          <w:p w14:paraId="692D61B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لائحة الإفصاح لمُصدِري الأوراق المالية</w:t>
            </w:r>
          </w:p>
        </w:tc>
        <w:tc>
          <w:tcPr>
            <w:tcW w:w="1108" w:type="dxa"/>
          </w:tcPr>
          <w:p w14:paraId="0D0A86E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2019</w:t>
            </w:r>
          </w:p>
        </w:tc>
        <w:tc>
          <w:tcPr>
            <w:tcW w:w="2059" w:type="dxa"/>
          </w:tcPr>
          <w:p w14:paraId="67E6AC4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اشتراطات الشفافية والتقارير الدورية</w:t>
            </w:r>
          </w:p>
        </w:tc>
      </w:tr>
      <w:tr w:rsidR="0011123F" w:rsidRPr="0011123F" w14:paraId="09FCD2A1" w14:textId="77777777" w:rsidTr="0011123F">
        <w:tc>
          <w:tcPr>
            <w:tcW w:w="2534" w:type="dxa"/>
          </w:tcPr>
          <w:p w14:paraId="00DEE5F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البنك المركزي (ساما)</w:t>
            </w:r>
          </w:p>
        </w:tc>
        <w:tc>
          <w:tcPr>
            <w:tcW w:w="2217" w:type="dxa"/>
          </w:tcPr>
          <w:p w14:paraId="0227E45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إطار إدارة مخاطر الصكوك والتوريق</w:t>
            </w:r>
          </w:p>
        </w:tc>
        <w:tc>
          <w:tcPr>
            <w:tcW w:w="1108" w:type="dxa"/>
          </w:tcPr>
          <w:p w14:paraId="4F704B6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2021</w:t>
            </w:r>
          </w:p>
        </w:tc>
        <w:tc>
          <w:tcPr>
            <w:tcW w:w="2059" w:type="dxa"/>
          </w:tcPr>
          <w:p w14:paraId="220A8E2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منهجية موحّدة لقياس وضبط مخاطر التوريق</w:t>
            </w:r>
          </w:p>
        </w:tc>
      </w:tr>
    </w:tbl>
    <w:p w14:paraId="43291725" w14:textId="77777777" w:rsidR="0011123F" w:rsidRPr="0011123F"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 xml:space="preserve">المصدر: هيئة السوق المالية السعودية (CMA)؛ البنك المركزي السعودي (ساما)؛ </w:t>
      </w:r>
      <w:proofErr w:type="spellStart"/>
      <w:r>
        <w:rPr>
          <w:rFonts w:ascii="Traditional Arabic" w:hAnsi="Traditional Arabic" w:cs="Traditional Arabic"/>
          <w:b/>
          <w:bCs/>
          <w:sz w:val="28"/>
          <w:szCs w:val="28"/>
          <w:rtl/>
        </w:rPr>
        <w:t>بوزياني</w:t>
      </w:r>
      <w:proofErr w:type="spellEnd"/>
      <w:r>
        <w:rPr>
          <w:rFonts w:ascii="Traditional Arabic" w:hAnsi="Traditional Arabic" w:cs="Traditional Arabic"/>
          <w:b/>
          <w:bCs/>
          <w:sz w:val="28"/>
          <w:szCs w:val="28"/>
          <w:rtl/>
        </w:rPr>
        <w:t xml:space="preserve"> وحليلو، 2022.</w:t>
      </w:r>
    </w:p>
    <w:p w14:paraId="1A69CA2C" w14:textId="77777777" w:rsidR="00D46F2C" w:rsidRDefault="005165F7" w:rsidP="00540437">
      <w:pPr>
        <w:pStyle w:val="Titre2"/>
        <w:bidi/>
        <w:spacing w:before="0" w:beforeAutospacing="0" w:after="0" w:afterAutospacing="0"/>
        <w:rPr>
          <w:rFonts w:ascii="Traditional Arabic" w:hAnsi="Traditional Arabic" w:cs="Traditional Arabic"/>
          <w:b w:val="0"/>
          <w:bCs w:val="0"/>
          <w:sz w:val="32"/>
          <w:szCs w:val="32"/>
          <w:rtl/>
        </w:rPr>
      </w:pPr>
      <w:bookmarkStart w:id="19" w:name="X27f1da8f27c01dbc2f6dad8b94dfdb18a56cf23"/>
      <w:bookmarkEnd w:id="9"/>
      <w:bookmarkEnd w:id="17"/>
      <w:r>
        <w:rPr>
          <w:rFonts w:ascii="Traditional Arabic" w:hAnsi="Traditional Arabic" w:cs="Traditional Arabic"/>
          <w:b w:val="0"/>
          <w:bCs w:val="0"/>
          <w:sz w:val="32"/>
          <w:szCs w:val="32"/>
          <w:rtl/>
        </w:rPr>
        <w:t>يكشف الاستقراء التحليلي للمنظومة القانونية والتشريعية المنظِّمة لعمليات التوريق في المملكة العربية السعودية، والموثقة في الجدول رقم (3)، عن وجود بيئة تنظيمية متكاملة وديناميكية تشترك في صياغتها مؤسستان سياديتان هما: هيئة السوق المالية</w:t>
      </w:r>
      <w:r>
        <w:rPr>
          <w:rFonts w:ascii="Traditional Arabic" w:hAnsi="Traditional Arabic" w:cs="Traditional Arabic"/>
          <w:b w:val="0"/>
          <w:bCs w:val="0"/>
          <w:sz w:val="32"/>
          <w:szCs w:val="32"/>
        </w:rPr>
        <w:t xml:space="preserve"> (CMA) </w:t>
      </w:r>
      <w:r>
        <w:rPr>
          <w:rFonts w:ascii="Traditional Arabic" w:hAnsi="Traditional Arabic" w:cs="Traditional Arabic"/>
          <w:b w:val="0"/>
          <w:bCs w:val="0"/>
          <w:sz w:val="32"/>
          <w:szCs w:val="32"/>
          <w:rtl/>
        </w:rPr>
        <w:t>والبنك المركزي السعودي</w:t>
      </w:r>
      <w:r>
        <w:rPr>
          <w:rFonts w:ascii="Traditional Arabic" w:hAnsi="Traditional Arabic" w:cs="Traditional Arabic"/>
          <w:b w:val="0"/>
          <w:bCs w:val="0"/>
          <w:sz w:val="32"/>
          <w:szCs w:val="32"/>
        </w:rPr>
        <w:t xml:space="preserve"> </w:t>
      </w:r>
      <w:r>
        <w:rPr>
          <w:rFonts w:ascii="Traditional Arabic" w:hAnsi="Traditional Arabic" w:cs="Traditional Arabic" w:hint="cs"/>
          <w:b w:val="0"/>
          <w:bCs w:val="0"/>
          <w:sz w:val="32"/>
          <w:szCs w:val="32"/>
          <w:rtl/>
        </w:rPr>
        <w:t>(</w:t>
      </w:r>
      <w:r>
        <w:rPr>
          <w:rFonts w:ascii="Traditional Arabic" w:hAnsi="Traditional Arabic" w:cs="Traditional Arabic"/>
          <w:b w:val="0"/>
          <w:bCs w:val="0"/>
          <w:sz w:val="32"/>
          <w:szCs w:val="32"/>
          <w:rtl/>
        </w:rPr>
        <w:t>ساما</w:t>
      </w:r>
      <w:r>
        <w:rPr>
          <w:rFonts w:ascii="Traditional Arabic" w:hAnsi="Traditional Arabic" w:cs="Traditional Arabic" w:hint="cs"/>
          <w:b w:val="0"/>
          <w:bCs w:val="0"/>
          <w:sz w:val="32"/>
          <w:szCs w:val="32"/>
          <w:rtl/>
        </w:rPr>
        <w:t>)</w:t>
      </w:r>
      <w:r>
        <w:rPr>
          <w:rFonts w:ascii="Traditional Arabic" w:hAnsi="Traditional Arabic" w:cs="Traditional Arabic"/>
          <w:b w:val="0"/>
          <w:bCs w:val="0"/>
          <w:sz w:val="32"/>
          <w:szCs w:val="32"/>
        </w:rPr>
        <w:t xml:space="preserve">. </w:t>
      </w:r>
      <w:r>
        <w:rPr>
          <w:rFonts w:ascii="Traditional Arabic" w:hAnsi="Traditional Arabic" w:cs="Traditional Arabic"/>
          <w:b w:val="0"/>
          <w:bCs w:val="0"/>
          <w:sz w:val="32"/>
          <w:szCs w:val="32"/>
          <w:rtl/>
        </w:rPr>
        <w:t>وقد تدرج هذا البناء التشريعي عبر مراحل زمنية متسقة؛ بدأت بوضع القواعد الموضوعية لإصدار الأدوات من خلال "نظام إصدار الصكوك والأدوات الدين" عام 2010 لتنظيم الأوراق المالية المدعومة بالأصول، تلاها التدخل التحوطي للبنك المركزي عام 2014 عبر "لوائح متطلبات رأس المال" لضبط وتقييم الأصول المرجحة بالمخاطر بعد عمليات التوريق. ولمواكبة الممارسات الهيكلية العالمية، وضعت هيئة السوق المالية عام 2017 الإطار القانوني والمؤسسي لإنشاء شركات الأغراض الخاصة</w:t>
      </w:r>
      <w:r>
        <w:rPr>
          <w:rFonts w:ascii="Traditional Arabic" w:hAnsi="Traditional Arabic" w:cs="Traditional Arabic"/>
          <w:b w:val="0"/>
          <w:bCs w:val="0"/>
          <w:sz w:val="32"/>
          <w:szCs w:val="32"/>
        </w:rPr>
        <w:t xml:space="preserve"> (SPV)</w:t>
      </w:r>
      <w:r>
        <w:rPr>
          <w:rFonts w:ascii="Traditional Arabic" w:hAnsi="Traditional Arabic" w:cs="Traditional Arabic"/>
          <w:b w:val="0"/>
          <w:bCs w:val="0"/>
          <w:sz w:val="32"/>
          <w:szCs w:val="32"/>
          <w:rtl/>
        </w:rPr>
        <w:t xml:space="preserve">، وهي الحجر الزاوية وفصل الأصول في هندسة التوريق، لتعزز ذلك عام 2019 بـ "لائحة الإفصاح لمصدري الأوراق المالية" لرفع مستويات الشفافية وحماية المستثمرين عبر التقارير الدورية. واكتملت هذه الدورة التشريعية عام 2021 بإصدار البنك المركزي لـ "إطار إدارة مخاطر الصكوك والتوريق" كمنهجية موحدة لقياس الضبط الائتماني. وبناءً على ذلك، نستنتج أن التطور المتلاحق لهذه النصوص يبرهن على سعي المشرّع </w:t>
      </w:r>
      <w:r>
        <w:rPr>
          <w:rFonts w:ascii="Traditional Arabic" w:hAnsi="Traditional Arabic" w:cs="Traditional Arabic"/>
          <w:b w:val="0"/>
          <w:bCs w:val="0"/>
          <w:sz w:val="32"/>
          <w:szCs w:val="32"/>
          <w:rtl/>
        </w:rPr>
        <w:lastRenderedPageBreak/>
        <w:t xml:space="preserve">المالي السعودي المستمر للحد من المخاطر النظامية، وتوفير بيئة جاذبة ومستقرة للأدوات المالية المبتكرة بما </w:t>
      </w:r>
      <w:proofErr w:type="spellStart"/>
      <w:r>
        <w:rPr>
          <w:rFonts w:ascii="Traditional Arabic" w:hAnsi="Traditional Arabic" w:cs="Traditional Arabic"/>
          <w:b w:val="0"/>
          <w:bCs w:val="0"/>
          <w:sz w:val="32"/>
          <w:szCs w:val="32"/>
          <w:rtl/>
        </w:rPr>
        <w:t>يتواءم</w:t>
      </w:r>
      <w:proofErr w:type="spellEnd"/>
      <w:r>
        <w:rPr>
          <w:rFonts w:ascii="Traditional Arabic" w:hAnsi="Traditional Arabic" w:cs="Traditional Arabic"/>
          <w:b w:val="0"/>
          <w:bCs w:val="0"/>
          <w:sz w:val="32"/>
          <w:szCs w:val="32"/>
          <w:rtl/>
        </w:rPr>
        <w:t xml:space="preserve"> مع تطلعات تطوير القطاع المالي</w:t>
      </w:r>
      <w:r>
        <w:rPr>
          <w:rFonts w:ascii="Traditional Arabic" w:hAnsi="Traditional Arabic" w:cs="Traditional Arabic" w:hint="cs"/>
          <w:b w:val="0"/>
          <w:bCs w:val="0"/>
          <w:sz w:val="32"/>
          <w:szCs w:val="32"/>
          <w:rtl/>
        </w:rPr>
        <w:t>.</w:t>
      </w:r>
    </w:p>
    <w:p w14:paraId="5B546A4A" w14:textId="77777777" w:rsidR="00242401" w:rsidRDefault="00242401" w:rsidP="00540437">
      <w:pPr>
        <w:pStyle w:val="Titre2"/>
        <w:bidi/>
        <w:spacing w:before="0" w:beforeAutospacing="0" w:after="0" w:afterAutospacing="0"/>
        <w:rPr>
          <w:rFonts w:ascii="Traditional Arabic" w:hAnsi="Traditional Arabic" w:cs="Traditional Arabic"/>
          <w:rtl/>
        </w:rPr>
        <w:sectPr w:rsidR="00242401" w:rsidSect="009F79D5">
          <w:footerReference w:type="default" r:id="rId28"/>
          <w:pgSz w:w="11906" w:h="16838"/>
          <w:pgMar w:top="1417" w:right="1417" w:bottom="1417" w:left="1417" w:header="708" w:footer="708" w:gutter="0"/>
          <w:cols w:space="708"/>
          <w:docGrid w:linePitch="360"/>
        </w:sectPr>
      </w:pPr>
    </w:p>
    <w:p w14:paraId="072797C6" w14:textId="2602FA98" w:rsidR="0011123F" w:rsidRDefault="0011123F" w:rsidP="00540437">
      <w:pPr>
        <w:pStyle w:val="Titre2"/>
        <w:bidi/>
        <w:spacing w:before="0" w:beforeAutospacing="0" w:after="0" w:afterAutospacing="0"/>
        <w:rPr>
          <w:rFonts w:ascii="Traditional Arabic" w:hAnsi="Traditional Arabic" w:cs="Traditional Arabic"/>
          <w:rtl/>
        </w:rPr>
      </w:pPr>
      <w:r>
        <w:rPr>
          <w:rFonts w:ascii="Traditional Arabic" w:hAnsi="Traditional Arabic" w:cs="Traditional Arabic"/>
          <w:rtl/>
        </w:rPr>
        <w:lastRenderedPageBreak/>
        <w:t>المبحث الثاني: آلية التوريق في البنك الأهلي السعودي</w:t>
      </w:r>
    </w:p>
    <w:p w14:paraId="14F64E30" w14:textId="77777777" w:rsidR="00D46F2C" w:rsidRPr="00D46F2C" w:rsidRDefault="00D46F2C" w:rsidP="00540437">
      <w:pPr>
        <w:pStyle w:val="Titre2"/>
        <w:bidi/>
        <w:spacing w:before="0" w:beforeAutospacing="0" w:after="0" w:afterAutospacing="0"/>
        <w:rPr>
          <w:rFonts w:ascii="Traditional Arabic" w:hAnsi="Traditional Arabic" w:cs="Traditional Arabic"/>
          <w:b w:val="0"/>
          <w:bCs w:val="0"/>
        </w:rPr>
      </w:pPr>
      <w:r>
        <w:rPr>
          <w:rFonts w:ascii="Traditional Arabic" w:hAnsi="Traditional Arabic" w:cs="Traditional Arabic"/>
          <w:b w:val="0"/>
          <w:bCs w:val="0"/>
          <w:rtl/>
        </w:rPr>
        <w:t>يُعتبر التوريق من أهم الأدوات المالية الحديثة التي تعتمد عليها البنوك في إدارة أصولها وتعزيز سيولتها وتقليل المخاطر المرتبطة بمحافظها الائتمانية. وفي هذا السياق، يكتسي موضوع آلية التوريق أهمية خاصة داخل المؤسسات المصرفية الكبرى، وعلى رأسها البنك الأهلي السعودي، الذي يسعى إلى تنويع أدواته التمويلية بما يتماشى مع التطورات في الأسواق المالية</w:t>
      </w:r>
      <w:r>
        <w:rPr>
          <w:rFonts w:ascii="Traditional Arabic" w:hAnsi="Traditional Arabic" w:cs="Traditional Arabic"/>
          <w:b w:val="0"/>
          <w:bCs w:val="0"/>
        </w:rPr>
        <w:t>.</w:t>
      </w:r>
    </w:p>
    <w:p w14:paraId="48225750" w14:textId="77777777" w:rsidR="0011123F" w:rsidRPr="0011123F" w:rsidRDefault="0011123F" w:rsidP="00540437">
      <w:pPr>
        <w:pStyle w:val="Titre3"/>
        <w:bidi/>
        <w:spacing w:before="0" w:beforeAutospacing="0" w:after="0" w:afterAutospacing="0"/>
        <w:rPr>
          <w:rFonts w:ascii="Traditional Arabic" w:hAnsi="Traditional Arabic" w:cs="Traditional Arabic"/>
          <w:sz w:val="36"/>
          <w:szCs w:val="36"/>
        </w:rPr>
      </w:pPr>
      <w:bookmarkStart w:id="20" w:name="X62df03e1d8eaac8f5e62f751c88c605e7664268"/>
      <w:r>
        <w:rPr>
          <w:rFonts w:ascii="Traditional Arabic" w:hAnsi="Traditional Arabic" w:cs="Traditional Arabic"/>
          <w:sz w:val="36"/>
          <w:szCs w:val="36"/>
          <w:rtl/>
        </w:rPr>
        <w:t>المطلب الأول: الأصول المستخدمة في عمليات التوريق</w:t>
      </w:r>
    </w:p>
    <w:p w14:paraId="687C63AA" w14:textId="77777777" w:rsidR="0011123F" w:rsidRPr="0011123F" w:rsidRDefault="0011123F" w:rsidP="00540437">
      <w:pPr>
        <w:bidi/>
        <w:spacing w:after="0" w:line="240" w:lineRule="auto"/>
        <w:ind w:firstLine="720"/>
        <w:rPr>
          <w:rFonts w:ascii="Traditional Arabic" w:hAnsi="Traditional Arabic" w:cs="Traditional Arabic"/>
          <w:sz w:val="32"/>
          <w:szCs w:val="32"/>
        </w:rPr>
      </w:pPr>
      <w:r>
        <w:rPr>
          <w:rFonts w:ascii="Traditional Arabic" w:hAnsi="Traditional Arabic" w:cs="Traditional Arabic"/>
          <w:sz w:val="32"/>
          <w:szCs w:val="32"/>
          <w:rtl/>
        </w:rPr>
        <w:t>يعتمد البنك الأهلي السعودي في عمليات التوريق على محافظ أصول متنوعة، غير أنه يُولي الأولوية للأصول ذات التدفقات النقدية المنتظمة والمخاطر المحدودة.</w:t>
      </w:r>
    </w:p>
    <w:p w14:paraId="0708552A" w14:textId="612301E8" w:rsidR="0011123F" w:rsidRPr="0011123F" w:rsidRDefault="00242401" w:rsidP="00242401">
      <w:pPr>
        <w:pStyle w:val="Lgende"/>
        <w:bidi/>
        <w:rPr>
          <w:sz w:val="32"/>
          <w:szCs w:val="32"/>
        </w:rPr>
      </w:pPr>
      <w:bookmarkStart w:id="21" w:name="_Toc231638650"/>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7</w:t>
      </w:r>
      <w:r w:rsidR="009248E3">
        <w:rPr>
          <w:noProof/>
        </w:rPr>
        <w:fldChar w:fldCharType="end"/>
      </w:r>
      <w:r>
        <w:rPr>
          <w:noProof/>
          <w:lang w:val="fr-FR"/>
        </w:rPr>
        <w:t xml:space="preserve"> </w:t>
      </w:r>
      <w:r w:rsidRPr="0068218E">
        <w:rPr>
          <w:noProof/>
          <w:rtl/>
          <w:lang w:val="fr-FR"/>
        </w:rPr>
        <w:t>تصنيف الأصول الموّرقة في البنك الأهلي السعودي</w:t>
      </w:r>
      <w:r w:rsidRPr="0068218E">
        <w:rPr>
          <w:noProof/>
          <w:lang w:val="fr-FR"/>
        </w:rPr>
        <w:t xml:space="preserve"> (2021–2023)</w:t>
      </w:r>
      <w:bookmarkEnd w:id="21"/>
    </w:p>
    <w:tbl>
      <w:tblPr>
        <w:tblStyle w:val="Grilledutableau"/>
        <w:bidiVisual/>
        <w:tblW w:w="5000" w:type="pct"/>
        <w:tblLayout w:type="fixed"/>
        <w:tblLook w:val="0020" w:firstRow="1" w:lastRow="0" w:firstColumn="0" w:lastColumn="0" w:noHBand="0" w:noVBand="0"/>
      </w:tblPr>
      <w:tblGrid>
        <w:gridCol w:w="2048"/>
        <w:gridCol w:w="1620"/>
        <w:gridCol w:w="1800"/>
        <w:gridCol w:w="1620"/>
        <w:gridCol w:w="1974"/>
      </w:tblGrid>
      <w:tr w:rsidR="0011123F" w:rsidRPr="0011123F" w14:paraId="102976F8" w14:textId="77777777" w:rsidTr="00921A47">
        <w:tc>
          <w:tcPr>
            <w:tcW w:w="2048" w:type="dxa"/>
          </w:tcPr>
          <w:p w14:paraId="65B7EF0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نوع الأصل</w:t>
            </w:r>
          </w:p>
        </w:tc>
        <w:tc>
          <w:tcPr>
            <w:tcW w:w="1620" w:type="dxa"/>
          </w:tcPr>
          <w:p w14:paraId="5C59669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القيمة (مليار ريال)</w:t>
            </w:r>
          </w:p>
        </w:tc>
        <w:tc>
          <w:tcPr>
            <w:tcW w:w="1800" w:type="dxa"/>
          </w:tcPr>
          <w:p w14:paraId="6CC1652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النسبة (%)</w:t>
            </w:r>
          </w:p>
        </w:tc>
        <w:tc>
          <w:tcPr>
            <w:tcW w:w="1620" w:type="dxa"/>
          </w:tcPr>
          <w:p w14:paraId="525363A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درجة التصنيف الائتماني</w:t>
            </w:r>
          </w:p>
        </w:tc>
        <w:tc>
          <w:tcPr>
            <w:tcW w:w="1974" w:type="dxa"/>
          </w:tcPr>
          <w:p w14:paraId="64223A7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ملاحظات</w:t>
            </w:r>
          </w:p>
        </w:tc>
      </w:tr>
      <w:tr w:rsidR="0011123F" w:rsidRPr="0011123F" w14:paraId="53F5413F" w14:textId="77777777" w:rsidTr="00921A47">
        <w:tc>
          <w:tcPr>
            <w:tcW w:w="2048" w:type="dxa"/>
          </w:tcPr>
          <w:p w14:paraId="21C5C11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محافظ التمويل العقاري</w:t>
            </w:r>
          </w:p>
        </w:tc>
        <w:tc>
          <w:tcPr>
            <w:tcW w:w="1620" w:type="dxa"/>
          </w:tcPr>
          <w:p w14:paraId="3A8E582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14.2</w:t>
            </w:r>
          </w:p>
        </w:tc>
        <w:tc>
          <w:tcPr>
            <w:tcW w:w="1800" w:type="dxa"/>
          </w:tcPr>
          <w:p w14:paraId="01D8386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47.3%</w:t>
            </w:r>
          </w:p>
        </w:tc>
        <w:tc>
          <w:tcPr>
            <w:tcW w:w="1620" w:type="dxa"/>
          </w:tcPr>
          <w:p w14:paraId="5EF9247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AA</w:t>
            </w:r>
          </w:p>
        </w:tc>
        <w:tc>
          <w:tcPr>
            <w:tcW w:w="1974" w:type="dxa"/>
          </w:tcPr>
          <w:p w14:paraId="16F8703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أكبر مكوّن للتوريق</w:t>
            </w:r>
          </w:p>
        </w:tc>
      </w:tr>
      <w:tr w:rsidR="0011123F" w:rsidRPr="0011123F" w14:paraId="7A2512C7" w14:textId="77777777" w:rsidTr="00921A47">
        <w:tc>
          <w:tcPr>
            <w:tcW w:w="2048" w:type="dxa"/>
          </w:tcPr>
          <w:p w14:paraId="02D4FD3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تمويل المشاريع الصغيرة والمتوسطة</w:t>
            </w:r>
          </w:p>
        </w:tc>
        <w:tc>
          <w:tcPr>
            <w:tcW w:w="1620" w:type="dxa"/>
          </w:tcPr>
          <w:p w14:paraId="4003972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7.8</w:t>
            </w:r>
          </w:p>
        </w:tc>
        <w:tc>
          <w:tcPr>
            <w:tcW w:w="1800" w:type="dxa"/>
          </w:tcPr>
          <w:p w14:paraId="64C9868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26.0%</w:t>
            </w:r>
          </w:p>
        </w:tc>
        <w:tc>
          <w:tcPr>
            <w:tcW w:w="1620" w:type="dxa"/>
          </w:tcPr>
          <w:p w14:paraId="223B136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A+</w:t>
            </w:r>
          </w:p>
        </w:tc>
        <w:tc>
          <w:tcPr>
            <w:tcW w:w="1974" w:type="dxa"/>
          </w:tcPr>
          <w:p w14:paraId="4F653EB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تنامٍ ملحوظ بعد 2021</w:t>
            </w:r>
          </w:p>
        </w:tc>
      </w:tr>
      <w:tr w:rsidR="0011123F" w:rsidRPr="0011123F" w14:paraId="000624CD" w14:textId="77777777" w:rsidTr="00921A47">
        <w:tc>
          <w:tcPr>
            <w:tcW w:w="2048" w:type="dxa"/>
          </w:tcPr>
          <w:p w14:paraId="7B4E63F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تمويل السيارات</w:t>
            </w:r>
          </w:p>
        </w:tc>
        <w:tc>
          <w:tcPr>
            <w:tcW w:w="1620" w:type="dxa"/>
          </w:tcPr>
          <w:p w14:paraId="095EB8F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5.1</w:t>
            </w:r>
          </w:p>
        </w:tc>
        <w:tc>
          <w:tcPr>
            <w:tcW w:w="1800" w:type="dxa"/>
          </w:tcPr>
          <w:p w14:paraId="11EA2C9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17.0%</w:t>
            </w:r>
          </w:p>
        </w:tc>
        <w:tc>
          <w:tcPr>
            <w:tcW w:w="1620" w:type="dxa"/>
          </w:tcPr>
          <w:p w14:paraId="5FBDE01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AA-</w:t>
            </w:r>
          </w:p>
        </w:tc>
        <w:tc>
          <w:tcPr>
            <w:tcW w:w="1974" w:type="dxa"/>
          </w:tcPr>
          <w:p w14:paraId="124BC66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منتظم وسريع الاسترداد</w:t>
            </w:r>
          </w:p>
        </w:tc>
      </w:tr>
      <w:tr w:rsidR="0011123F" w:rsidRPr="0011123F" w14:paraId="1652F658" w14:textId="77777777" w:rsidTr="00921A47">
        <w:tc>
          <w:tcPr>
            <w:tcW w:w="2048" w:type="dxa"/>
          </w:tcPr>
          <w:p w14:paraId="06BE6A5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القروض الاستهلاكية الشخصية</w:t>
            </w:r>
          </w:p>
        </w:tc>
        <w:tc>
          <w:tcPr>
            <w:tcW w:w="1620" w:type="dxa"/>
          </w:tcPr>
          <w:p w14:paraId="5203843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2.9</w:t>
            </w:r>
          </w:p>
        </w:tc>
        <w:tc>
          <w:tcPr>
            <w:tcW w:w="1800" w:type="dxa"/>
          </w:tcPr>
          <w:p w14:paraId="6BF356C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9.7%</w:t>
            </w:r>
          </w:p>
        </w:tc>
        <w:tc>
          <w:tcPr>
            <w:tcW w:w="1620" w:type="dxa"/>
          </w:tcPr>
          <w:p w14:paraId="7156395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A</w:t>
            </w:r>
          </w:p>
        </w:tc>
        <w:tc>
          <w:tcPr>
            <w:tcW w:w="1974" w:type="dxa"/>
          </w:tcPr>
          <w:p w14:paraId="13E3697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تدفقات مستقرة</w:t>
            </w:r>
          </w:p>
        </w:tc>
      </w:tr>
      <w:tr w:rsidR="0011123F" w:rsidRPr="0011123F" w14:paraId="6B7D345E" w14:textId="77777777" w:rsidTr="00921A47">
        <w:tc>
          <w:tcPr>
            <w:tcW w:w="2048" w:type="dxa"/>
          </w:tcPr>
          <w:p w14:paraId="07C1533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الإجمالي</w:t>
            </w:r>
          </w:p>
        </w:tc>
        <w:tc>
          <w:tcPr>
            <w:tcW w:w="1620" w:type="dxa"/>
          </w:tcPr>
          <w:p w14:paraId="1EA1C57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30.0</w:t>
            </w:r>
          </w:p>
        </w:tc>
        <w:tc>
          <w:tcPr>
            <w:tcW w:w="1800" w:type="dxa"/>
          </w:tcPr>
          <w:p w14:paraId="3F20217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100%</w:t>
            </w:r>
          </w:p>
        </w:tc>
        <w:tc>
          <w:tcPr>
            <w:tcW w:w="1620" w:type="dxa"/>
          </w:tcPr>
          <w:p w14:paraId="4EB0D2E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w:t>
            </w:r>
          </w:p>
        </w:tc>
        <w:tc>
          <w:tcPr>
            <w:tcW w:w="1974" w:type="dxa"/>
          </w:tcPr>
          <w:p w14:paraId="7096FD3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w:t>
            </w:r>
          </w:p>
        </w:tc>
      </w:tr>
    </w:tbl>
    <w:p w14:paraId="3D4EF10F" w14:textId="77777777" w:rsidR="0011123F" w:rsidRPr="007C492E"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المصدر: التقرير السنوي للبنك الأهلي السعودي 2023؛ هيئة السوق المالية السعودية.</w:t>
      </w:r>
    </w:p>
    <w:p w14:paraId="1882B07B" w14:textId="77777777" w:rsidR="007C492E" w:rsidRPr="00536794" w:rsidRDefault="00536794" w:rsidP="00540437">
      <w:pPr>
        <w:bidi/>
        <w:spacing w:after="0"/>
        <w:rPr>
          <w:rFonts w:ascii="Traditional Arabic" w:hAnsi="Traditional Arabic" w:cs="Traditional Arabic"/>
          <w:sz w:val="32"/>
          <w:szCs w:val="32"/>
          <w:rtl/>
        </w:rPr>
      </w:pPr>
      <w:r>
        <w:rPr>
          <w:rFonts w:ascii="Traditional Arabic" w:hAnsi="Traditional Arabic" w:cs="Traditional Arabic"/>
          <w:sz w:val="32"/>
          <w:szCs w:val="32"/>
          <w:rtl/>
        </w:rPr>
        <w:t>يُظهر التحليل الإحصائي والائتماني الموثق في الجدول رقم (4) لطبيعة ومكونات الأصول الموَّرقة لدى البنك الأهلي السعودي خلال الفترة (2021–2023)، استراتيجية انتقائية واضحة ترتكز على جودة الأصول وانخفاض مستويات المخاطر الائتمانية الكلية التي بلغت قيمتها الإجمالية 30 مليار ريال سعودي. وتكشف القراءة الهيكلية عن استحواذ 'محافظ التمويل العقاري' على الحصة الأكبر والأولى بنسبة 47.3% وبقيمة بلغت 14.2 مليار ريال سعودي، مدعومة بدرجة تصنيف ائتماني مرتفعة جداً</w:t>
      </w:r>
      <w:r>
        <w:rPr>
          <w:rFonts w:ascii="Traditional Arabic" w:hAnsi="Traditional Arabic" w:cs="Traditional Arabic"/>
          <w:sz w:val="32"/>
          <w:szCs w:val="32"/>
        </w:rPr>
        <w:t xml:space="preserve"> (AA)</w:t>
      </w:r>
      <w:r>
        <w:rPr>
          <w:rFonts w:ascii="Traditional Arabic" w:hAnsi="Traditional Arabic" w:cs="Traditional Arabic"/>
          <w:sz w:val="32"/>
          <w:szCs w:val="32"/>
          <w:rtl/>
        </w:rPr>
        <w:t xml:space="preserve">؛ مما يعكس طبيعة هذه الأصول باعتبارها المكون الأساسي والمستقر لعمليات التوريق نظراً لضماناتها العينية الطويلة الأجل. وتلاها قطاع 'تمويل المشاريع الصغيرة والمتوسطة' بحصة بلغت 26% (بقيمة 7.8 مليار ريال وتصنيف </w:t>
      </w:r>
      <w:r>
        <w:rPr>
          <w:rFonts w:ascii="Traditional Arabic" w:hAnsi="Traditional Arabic" w:cs="Traditional Arabic"/>
          <w:sz w:val="32"/>
          <w:szCs w:val="32"/>
        </w:rPr>
        <w:t>+A</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وهو ما يُعزى إلى </w:t>
      </w:r>
      <w:r>
        <w:rPr>
          <w:rFonts w:ascii="Traditional Arabic" w:hAnsi="Traditional Arabic" w:cs="Traditional Arabic"/>
          <w:sz w:val="32"/>
          <w:szCs w:val="32"/>
          <w:rtl/>
        </w:rPr>
        <w:lastRenderedPageBreak/>
        <w:t>التنامي الملحوظ في الطلب والتمويل بعد عام 2021 مدفوعاً ببرامج الدعم الحكومي ورؤية 2030. وفي ذات السياق، شكّل 'تمويل السيارات' ما نسبته 17% من إجمالي المحفظة الموَّرقة (بقيمة 5.1 مليار ريال) محرزاً تصنيفاً ائتمانياً ممتازاً عند</w:t>
      </w:r>
      <w:r>
        <w:rPr>
          <w:rFonts w:ascii="Traditional Arabic" w:hAnsi="Traditional Arabic" w:cs="Traditional Arabic"/>
          <w:sz w:val="32"/>
          <w:szCs w:val="32"/>
        </w:rPr>
        <w:t xml:space="preserve"> (-AA)</w:t>
      </w:r>
      <w:r>
        <w:rPr>
          <w:rFonts w:ascii="Traditional Arabic" w:hAnsi="Traditional Arabic" w:cs="Traditional Arabic"/>
          <w:sz w:val="32"/>
          <w:szCs w:val="32"/>
          <w:rtl/>
        </w:rPr>
        <w:t xml:space="preserve">، مدعوماً بكونه قطاعاً منتظماً وسريع الاسترداد. وأخيراً، جاءت 'القروض الاستهلاكية الشخصية' في المرتبة الرابعة بنسبة 9.7% وبقيمة 2.9 مليار ريال (بتصنيف </w:t>
      </w:r>
      <w:r>
        <w:rPr>
          <w:rFonts w:ascii="Traditional Arabic" w:hAnsi="Traditional Arabic" w:cs="Traditional Arabic"/>
          <w:sz w:val="32"/>
          <w:szCs w:val="32"/>
        </w:rPr>
        <w:t>A</w:t>
      </w:r>
      <w:r>
        <w:rPr>
          <w:rFonts w:ascii="Traditional Arabic" w:hAnsi="Traditional Arabic" w:cs="Traditional Arabic" w:hint="cs"/>
          <w:sz w:val="32"/>
          <w:szCs w:val="32"/>
          <w:rtl/>
        </w:rPr>
        <w:t>)</w:t>
      </w:r>
      <w:r>
        <w:rPr>
          <w:rFonts w:ascii="Traditional Arabic" w:hAnsi="Traditional Arabic" w:cs="Traditional Arabic"/>
          <w:sz w:val="32"/>
          <w:szCs w:val="32"/>
        </w:rPr>
        <w:t xml:space="preserve"> </w:t>
      </w:r>
      <w:r>
        <w:rPr>
          <w:rFonts w:ascii="Traditional Arabic" w:hAnsi="Traditional Arabic" w:cs="Traditional Arabic"/>
          <w:sz w:val="32"/>
          <w:szCs w:val="32"/>
          <w:rtl/>
        </w:rPr>
        <w:t>لترفد المحفظة بتدفقات نقدية دورية مستقرة. وبناءً على ما تقدم، نستنتج أن هيكلة التوريق في البنك الأهلي السعودي تتميز بالتنوع القطاعي والتحصين الائتماني عالي الجودة؛ حيث تقع جميع الأصول الموَّرقة ضمن النطاق الاستثماري الآمن</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r>
        <w:rPr>
          <w:rFonts w:ascii="Traditional Arabic" w:hAnsi="Traditional Arabic" w:cs="Traditional Arabic"/>
          <w:sz w:val="32"/>
          <w:szCs w:val="32"/>
        </w:rPr>
        <w:t>Investment\ Grade</w:t>
      </w:r>
      <w:r>
        <w:rPr>
          <w:rFonts w:ascii="Traditional Arabic" w:hAnsi="Traditional Arabic" w:cs="Traditional Arabic" w:hint="cs"/>
          <w:sz w:val="32"/>
          <w:szCs w:val="32"/>
          <w:rtl/>
        </w:rPr>
        <w:t>)</w:t>
      </w:r>
      <w:r>
        <w:rPr>
          <w:rFonts w:ascii="Traditional Arabic" w:hAnsi="Traditional Arabic" w:cs="Traditional Arabic"/>
          <w:sz w:val="32"/>
          <w:szCs w:val="32"/>
          <w:rtl/>
        </w:rPr>
        <w:t>، مما يُعزز من جاذبية هذه الصكوك والأوراق المالية للمستثمرين في أسواق النقد والدين</w:t>
      </w:r>
      <w:r>
        <w:rPr>
          <w:rFonts w:ascii="Traditional Arabic" w:hAnsi="Traditional Arabic" w:cs="Traditional Arabic"/>
          <w:sz w:val="32"/>
          <w:szCs w:val="32"/>
        </w:rPr>
        <w:t>.</w:t>
      </w:r>
    </w:p>
    <w:p w14:paraId="68B924F7" w14:textId="77A3140D" w:rsidR="0011123F" w:rsidRPr="0011123F" w:rsidRDefault="00242401" w:rsidP="00242401">
      <w:pPr>
        <w:pStyle w:val="Lgende"/>
        <w:bidi/>
        <w:rPr>
          <w:sz w:val="32"/>
          <w:szCs w:val="32"/>
        </w:rPr>
      </w:pPr>
      <w:bookmarkStart w:id="22" w:name="_Toc231638589"/>
      <w:r>
        <w:rPr>
          <w:rtl/>
        </w:rPr>
        <w:t xml:space="preserve">الشكل رقم </w:t>
      </w:r>
      <w:r w:rsidR="009248E3">
        <w:fldChar w:fldCharType="begin"/>
      </w:r>
      <w:r w:rsidR="009248E3">
        <w:instrText xml:space="preserve"> SEQ </w:instrText>
      </w:r>
      <w:r w:rsidR="009248E3">
        <w:rPr>
          <w:rtl/>
        </w:rPr>
        <w:instrText>الشكل_رقم</w:instrText>
      </w:r>
      <w:r w:rsidR="009248E3">
        <w:instrText xml:space="preserve"> \* ARABIC </w:instrText>
      </w:r>
      <w:r w:rsidR="009248E3">
        <w:fldChar w:fldCharType="separate"/>
      </w:r>
      <w:r w:rsidR="00317D7C">
        <w:rPr>
          <w:noProof/>
        </w:rPr>
        <w:t>2</w:t>
      </w:r>
      <w:r w:rsidR="009248E3">
        <w:rPr>
          <w:noProof/>
        </w:rPr>
        <w:fldChar w:fldCharType="end"/>
      </w:r>
      <w:r>
        <w:rPr>
          <w:noProof/>
          <w:lang w:val="fr-FR"/>
        </w:rPr>
        <w:t xml:space="preserve"> </w:t>
      </w:r>
      <w:r w:rsidRPr="007F6613">
        <w:rPr>
          <w:noProof/>
          <w:rtl/>
          <w:lang w:val="fr-FR"/>
        </w:rPr>
        <w:t>التوزيع النسبي للأصول الموّرقة في البنك الأهلي السعودي</w:t>
      </w:r>
      <w:r w:rsidRPr="007F6613">
        <w:rPr>
          <w:noProof/>
          <w:lang w:val="fr-FR"/>
        </w:rPr>
        <w:t xml:space="preserve"> (2023)</w:t>
      </w:r>
      <w:bookmarkEnd w:id="22"/>
    </w:p>
    <w:p w14:paraId="21CC001C" w14:textId="3FAA5B48" w:rsidR="0011123F" w:rsidRPr="007C492E" w:rsidRDefault="0011123F" w:rsidP="00540437">
      <w:pPr>
        <w:pStyle w:val="SourceCode"/>
        <w:bidi/>
        <w:spacing w:after="0" w:line="240" w:lineRule="auto"/>
        <w:rPr>
          <w:b/>
          <w:bCs/>
        </w:rPr>
      </w:pPr>
      <w:r>
        <w:rPr>
          <w:rtl/>
        </w:rPr>
        <w:t>التوزيع النسبي للأصول المورّقة:</w:t>
      </w:r>
      <w:r>
        <w:br/>
      </w:r>
      <w:r>
        <w:rPr>
          <w:noProof/>
          <w:lang w:val="en-US"/>
        </w:rPr>
        <w:drawing>
          <wp:inline distT="0" distB="0" distL="0" distR="0" wp14:anchorId="4DBAA56D" wp14:editId="0C692A68">
            <wp:extent cx="5486400" cy="3200400"/>
            <wp:effectExtent l="0" t="0" r="0" b="0"/>
            <wp:docPr id="1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br/>
      </w:r>
      <w:r>
        <w:rPr>
          <w:b/>
          <w:bCs/>
          <w:rtl/>
        </w:rPr>
        <w:t>المصدر: من إع</w:t>
      </w:r>
      <w:r w:rsidR="004B1BB8">
        <w:rPr>
          <w:b/>
          <w:bCs/>
          <w:rtl/>
        </w:rPr>
        <w:t>داد الطالب</w:t>
      </w:r>
      <w:r>
        <w:rPr>
          <w:b/>
          <w:bCs/>
          <w:rtl/>
        </w:rPr>
        <w:t xml:space="preserve"> بناءً على بيانات البنك الأهلي السعودي، 2023.</w:t>
      </w:r>
    </w:p>
    <w:p w14:paraId="2A2CE6A0" w14:textId="77777777" w:rsidR="00536794" w:rsidRPr="00EC593C" w:rsidRDefault="00EC593C" w:rsidP="00540437">
      <w:pPr>
        <w:pStyle w:val="Titre3"/>
        <w:bidi/>
        <w:spacing w:before="0" w:beforeAutospacing="0" w:after="0" w:afterAutospacing="0"/>
        <w:rPr>
          <w:rFonts w:ascii="Traditional Arabic" w:hAnsi="Traditional Arabic" w:cs="Traditional Arabic"/>
          <w:b w:val="0"/>
          <w:bCs w:val="0"/>
          <w:sz w:val="32"/>
          <w:szCs w:val="32"/>
          <w:rtl/>
        </w:rPr>
      </w:pPr>
      <w:bookmarkStart w:id="23" w:name="Xcbbcc079cad89d38681d5fe422355ea3171fba3"/>
      <w:bookmarkEnd w:id="20"/>
      <w:r>
        <w:rPr>
          <w:rFonts w:ascii="Traditional Arabic" w:hAnsi="Traditional Arabic" w:cs="Traditional Arabic"/>
          <w:b w:val="0"/>
          <w:bCs w:val="0"/>
          <w:sz w:val="32"/>
          <w:szCs w:val="32"/>
          <w:rtl/>
        </w:rPr>
        <w:t xml:space="preserve">تُقدّم المؤشرات المالية الختامية الواردة في الجدول رقم (2) لعام 2023 رصداً للملاءة المالية الاستثنائية والمركز السوقي المهيمن للبنك الأهلي السعودي، وهو ما يفسر </w:t>
      </w:r>
      <w:proofErr w:type="spellStart"/>
      <w:r>
        <w:rPr>
          <w:rFonts w:ascii="Traditional Arabic" w:hAnsi="Traditional Arabic" w:cs="Traditional Arabic"/>
          <w:b w:val="0"/>
          <w:bCs w:val="0"/>
          <w:sz w:val="32"/>
          <w:szCs w:val="32"/>
          <w:rtl/>
        </w:rPr>
        <w:t>رمزيته</w:t>
      </w:r>
      <w:proofErr w:type="spellEnd"/>
      <w:r>
        <w:rPr>
          <w:rFonts w:ascii="Traditional Arabic" w:hAnsi="Traditional Arabic" w:cs="Traditional Arabic"/>
          <w:b w:val="0"/>
          <w:bCs w:val="0"/>
          <w:sz w:val="32"/>
          <w:szCs w:val="32"/>
          <w:rtl/>
        </w:rPr>
        <w:t xml:space="preserve"> كبيئة مثالية لتأسيس وإنجاح برامج الهندسة المالية المعقدة كالتوريق. وتكشف البيانات أن القاعدة الرأسمالية للبنك بلغت مستويات عملاقة؛ حيث استقر إجمالي الأصول عند 937 مليار ريال سعودي، مدعوماً بمحفظة تمويل وإقراض نشطة بلغت 612 مليار ريال سعودي، وحقوق مساهمين صلبة قُدّرت بـ 130 مليار ريال سعودي. وتُرجمت هذه الضخامة التشغيلية إلى كفاءة ربحية عالية بامتياز، مسجلةً صافي ربح قدره 19.6 مليار ريال سعودي. ومن منظور الأمان والامتثال الرقابي، أظهر </w:t>
      </w:r>
      <w:r>
        <w:rPr>
          <w:rFonts w:ascii="Traditional Arabic" w:hAnsi="Traditional Arabic" w:cs="Traditional Arabic"/>
          <w:b w:val="0"/>
          <w:bCs w:val="0"/>
          <w:sz w:val="32"/>
          <w:szCs w:val="32"/>
          <w:rtl/>
        </w:rPr>
        <w:lastRenderedPageBreak/>
        <w:t>البنك تحوطاً رفيعاً، حيث سجلت نسبة كفاية رأس المال</w:t>
      </w:r>
      <w:r>
        <w:rPr>
          <w:rFonts w:ascii="Traditional Arabic" w:hAnsi="Traditional Arabic" w:cs="Traditional Arabic"/>
          <w:b w:val="0"/>
          <w:bCs w:val="0"/>
          <w:sz w:val="32"/>
          <w:szCs w:val="32"/>
        </w:rPr>
        <w:t xml:space="preserve"> (CAR) </w:t>
      </w:r>
      <w:r>
        <w:rPr>
          <w:rFonts w:ascii="Traditional Arabic" w:hAnsi="Traditional Arabic" w:cs="Traditional Arabic"/>
          <w:b w:val="0"/>
          <w:bCs w:val="0"/>
          <w:sz w:val="32"/>
          <w:szCs w:val="32"/>
          <w:rtl/>
        </w:rPr>
        <w:t>مستوى %19.8 ونسبة تغطية سيولة</w:t>
      </w:r>
      <w:r>
        <w:rPr>
          <w:rFonts w:ascii="Traditional Arabic" w:hAnsi="Traditional Arabic" w:cs="Traditional Arabic"/>
          <w:b w:val="0"/>
          <w:bCs w:val="0"/>
          <w:sz w:val="32"/>
          <w:szCs w:val="32"/>
        </w:rPr>
        <w:t xml:space="preserve"> (LCR) </w:t>
      </w:r>
      <w:r>
        <w:rPr>
          <w:rFonts w:ascii="Traditional Arabic" w:hAnsi="Traditional Arabic" w:cs="Traditional Arabic"/>
          <w:b w:val="0"/>
          <w:bCs w:val="0"/>
          <w:sz w:val="32"/>
          <w:szCs w:val="32"/>
          <w:rtl/>
        </w:rPr>
        <w:t>بلغت %156، وهي معدلات تتجاوز بكثير الحدود الائتمانية الدنيا المقررة محلياً ودولياً. وبفضل هذه الملاءة الحصينة، المدعومة بشبكة جغرافية وقوة عاملة ضخمة تضم أكثر من 570 فرعاً وما يزيد على 24,000 موظف، تمكن البنك من الاستحواذ على حصة سوقية قيادية ومؤثرة تُناهز %28 من إجمالي أصول القطاع المصرفي السعودي. وبناءً على ما تقدم، نستنتج أن استقرار وتفوق هذه المؤشرات يمنحان أوراق الائتمان الصادرة عن البنك ثقة استثمارية بالغة تسهم في خفض علاوة المخاطر عند طرح صكوك التوريق في السوق</w:t>
      </w:r>
      <w:r>
        <w:rPr>
          <w:rFonts w:ascii="Traditional Arabic" w:hAnsi="Traditional Arabic" w:cs="Traditional Arabic"/>
          <w:b w:val="0"/>
          <w:bCs w:val="0"/>
          <w:sz w:val="32"/>
          <w:szCs w:val="32"/>
        </w:rPr>
        <w:t>.</w:t>
      </w:r>
    </w:p>
    <w:p w14:paraId="1798414C" w14:textId="77777777" w:rsidR="0011123F" w:rsidRPr="007C492E" w:rsidRDefault="0011123F" w:rsidP="00540437">
      <w:pPr>
        <w:pStyle w:val="Titre3"/>
        <w:bidi/>
        <w:spacing w:before="0" w:beforeAutospacing="0" w:after="0" w:afterAutospacing="0"/>
        <w:rPr>
          <w:rFonts w:ascii="Traditional Arabic" w:hAnsi="Traditional Arabic" w:cs="Traditional Arabic"/>
          <w:sz w:val="36"/>
          <w:szCs w:val="36"/>
        </w:rPr>
      </w:pPr>
      <w:r>
        <w:rPr>
          <w:rFonts w:ascii="Traditional Arabic" w:hAnsi="Traditional Arabic" w:cs="Traditional Arabic"/>
          <w:sz w:val="36"/>
          <w:szCs w:val="36"/>
          <w:rtl/>
        </w:rPr>
        <w:t>المطلب الثاني: مراحل العملية وأطرافها في البنك الأهلي السعودي</w:t>
      </w:r>
    </w:p>
    <w:p w14:paraId="470DCACA" w14:textId="77777777" w:rsidR="0011123F" w:rsidRPr="007C492E" w:rsidRDefault="0011123F" w:rsidP="00540437">
      <w:pPr>
        <w:pStyle w:val="Sansinterligne"/>
        <w:bidi/>
        <w:rPr>
          <w:rFonts w:ascii="Traditional Arabic" w:hAnsi="Traditional Arabic" w:cs="Traditional Arabic"/>
          <w:b/>
          <w:bCs/>
          <w:sz w:val="32"/>
          <w:szCs w:val="32"/>
        </w:rPr>
      </w:pPr>
      <w:bookmarkStart w:id="24" w:name="أولا-هيكل-العملية-والأطراف-المتدخلة"/>
      <w:r>
        <w:rPr>
          <w:rFonts w:ascii="Traditional Arabic" w:hAnsi="Traditional Arabic" w:cs="Traditional Arabic"/>
          <w:b/>
          <w:bCs/>
          <w:sz w:val="32"/>
          <w:szCs w:val="32"/>
          <w:rtl/>
        </w:rPr>
        <w:t>أولاً: هيكل العملية والأطراف المتدخلة</w:t>
      </w:r>
    </w:p>
    <w:p w14:paraId="77297A7A" w14:textId="77777777" w:rsidR="0011123F" w:rsidRDefault="0011123F" w:rsidP="00540437">
      <w:pPr>
        <w:bidi/>
        <w:spacing w:after="0" w:line="240" w:lineRule="auto"/>
        <w:rPr>
          <w:rFonts w:ascii="Traditional Arabic" w:hAnsi="Traditional Arabic" w:cs="Traditional Arabic"/>
          <w:sz w:val="32"/>
          <w:szCs w:val="32"/>
          <w:rtl/>
        </w:rPr>
      </w:pPr>
      <w:r>
        <w:rPr>
          <w:rFonts w:ascii="Traditional Arabic" w:hAnsi="Traditional Arabic" w:cs="Traditional Arabic"/>
          <w:sz w:val="32"/>
          <w:szCs w:val="32"/>
          <w:rtl/>
        </w:rPr>
        <w:t>تتضمّن عملية التوريق في البنك الأهلي السعودي شبكةً من الأطراف المتخصصة التي تضمن سلامة العملية واستقلاليتها القانونية والمالية، وفق المخطط التالي:</w:t>
      </w:r>
    </w:p>
    <w:p w14:paraId="0D4C8506" w14:textId="77777777" w:rsidR="00CE4DEA" w:rsidRDefault="00CE4DEA" w:rsidP="00540437">
      <w:pPr>
        <w:bidi/>
        <w:spacing w:after="0" w:line="240" w:lineRule="auto"/>
        <w:rPr>
          <w:rFonts w:ascii="Traditional Arabic" w:hAnsi="Traditional Arabic" w:cs="Traditional Arabic"/>
          <w:sz w:val="32"/>
          <w:szCs w:val="32"/>
          <w:rtl/>
        </w:rPr>
      </w:pPr>
    </w:p>
    <w:p w14:paraId="4B97DD78" w14:textId="77777777" w:rsidR="00CE4DEA" w:rsidRDefault="00CE4DEA" w:rsidP="00540437">
      <w:pPr>
        <w:bidi/>
        <w:spacing w:after="0" w:line="240" w:lineRule="auto"/>
        <w:rPr>
          <w:rFonts w:ascii="Traditional Arabic" w:hAnsi="Traditional Arabic" w:cs="Traditional Arabic"/>
          <w:sz w:val="32"/>
          <w:szCs w:val="32"/>
          <w:rtl/>
        </w:rPr>
      </w:pPr>
    </w:p>
    <w:p w14:paraId="1C181778" w14:textId="77777777" w:rsidR="00CE4DEA" w:rsidRDefault="00CE4DEA" w:rsidP="00540437">
      <w:pPr>
        <w:bidi/>
        <w:spacing w:after="0" w:line="240" w:lineRule="auto"/>
        <w:rPr>
          <w:rFonts w:ascii="Traditional Arabic" w:hAnsi="Traditional Arabic" w:cs="Traditional Arabic"/>
          <w:sz w:val="32"/>
          <w:szCs w:val="32"/>
          <w:rtl/>
        </w:rPr>
      </w:pPr>
    </w:p>
    <w:p w14:paraId="63490606" w14:textId="77777777" w:rsidR="00CE4DEA" w:rsidRDefault="00CE4DEA" w:rsidP="00540437">
      <w:pPr>
        <w:bidi/>
        <w:spacing w:after="0" w:line="240" w:lineRule="auto"/>
        <w:rPr>
          <w:rFonts w:ascii="Traditional Arabic" w:hAnsi="Traditional Arabic" w:cs="Traditional Arabic"/>
          <w:sz w:val="32"/>
          <w:szCs w:val="32"/>
          <w:rtl/>
        </w:rPr>
      </w:pPr>
    </w:p>
    <w:p w14:paraId="0378ED33" w14:textId="77777777" w:rsidR="00CE4DEA" w:rsidRDefault="00CE4DEA" w:rsidP="00540437">
      <w:pPr>
        <w:bidi/>
        <w:spacing w:after="0" w:line="240" w:lineRule="auto"/>
        <w:rPr>
          <w:rFonts w:ascii="Traditional Arabic" w:hAnsi="Traditional Arabic" w:cs="Traditional Arabic"/>
          <w:sz w:val="32"/>
          <w:szCs w:val="32"/>
          <w:rtl/>
        </w:rPr>
      </w:pPr>
    </w:p>
    <w:p w14:paraId="513068E9" w14:textId="77777777" w:rsidR="00CE4DEA" w:rsidRDefault="00CE4DEA" w:rsidP="00540437">
      <w:pPr>
        <w:bidi/>
        <w:spacing w:after="0" w:line="240" w:lineRule="auto"/>
        <w:rPr>
          <w:rFonts w:ascii="Traditional Arabic" w:hAnsi="Traditional Arabic" w:cs="Traditional Arabic"/>
          <w:sz w:val="32"/>
          <w:szCs w:val="32"/>
          <w:rtl/>
        </w:rPr>
      </w:pPr>
    </w:p>
    <w:p w14:paraId="49359301" w14:textId="77777777" w:rsidR="00CE4DEA" w:rsidRDefault="00CE4DEA" w:rsidP="00540437">
      <w:pPr>
        <w:bidi/>
        <w:spacing w:after="0" w:line="240" w:lineRule="auto"/>
        <w:rPr>
          <w:rFonts w:ascii="Traditional Arabic" w:hAnsi="Traditional Arabic" w:cs="Traditional Arabic"/>
          <w:sz w:val="32"/>
          <w:szCs w:val="32"/>
          <w:rtl/>
        </w:rPr>
      </w:pPr>
    </w:p>
    <w:p w14:paraId="27555778" w14:textId="77777777" w:rsidR="00CE4DEA" w:rsidRDefault="00CE4DEA" w:rsidP="00540437">
      <w:pPr>
        <w:bidi/>
        <w:spacing w:after="0" w:line="240" w:lineRule="auto"/>
        <w:rPr>
          <w:rFonts w:ascii="Traditional Arabic" w:hAnsi="Traditional Arabic" w:cs="Traditional Arabic"/>
          <w:sz w:val="32"/>
          <w:szCs w:val="32"/>
          <w:rtl/>
        </w:rPr>
      </w:pPr>
    </w:p>
    <w:p w14:paraId="100962B9" w14:textId="77777777" w:rsidR="00CE4DEA" w:rsidRDefault="00CE4DEA" w:rsidP="00540437">
      <w:pPr>
        <w:bidi/>
        <w:spacing w:after="0" w:line="240" w:lineRule="auto"/>
        <w:rPr>
          <w:rFonts w:ascii="Traditional Arabic" w:hAnsi="Traditional Arabic" w:cs="Traditional Arabic"/>
          <w:sz w:val="32"/>
          <w:szCs w:val="32"/>
          <w:rtl/>
        </w:rPr>
      </w:pPr>
    </w:p>
    <w:p w14:paraId="531D1BA9" w14:textId="77777777" w:rsidR="00CE4DEA" w:rsidRDefault="00CE4DEA" w:rsidP="00540437">
      <w:pPr>
        <w:bidi/>
        <w:spacing w:after="0" w:line="240" w:lineRule="auto"/>
        <w:rPr>
          <w:rFonts w:ascii="Traditional Arabic" w:hAnsi="Traditional Arabic" w:cs="Traditional Arabic"/>
          <w:sz w:val="32"/>
          <w:szCs w:val="32"/>
          <w:rtl/>
        </w:rPr>
      </w:pPr>
    </w:p>
    <w:p w14:paraId="1EBB150A" w14:textId="77777777" w:rsidR="00CE4DEA" w:rsidRDefault="00CE4DEA" w:rsidP="00540437">
      <w:pPr>
        <w:bidi/>
        <w:spacing w:after="0" w:line="240" w:lineRule="auto"/>
        <w:rPr>
          <w:rFonts w:ascii="Traditional Arabic" w:hAnsi="Traditional Arabic" w:cs="Traditional Arabic"/>
          <w:sz w:val="32"/>
          <w:szCs w:val="32"/>
          <w:rtl/>
        </w:rPr>
      </w:pPr>
    </w:p>
    <w:p w14:paraId="0A22D0AA" w14:textId="77777777" w:rsidR="00CE4DEA" w:rsidRDefault="00CE4DEA" w:rsidP="00540437">
      <w:pPr>
        <w:bidi/>
        <w:spacing w:after="0" w:line="240" w:lineRule="auto"/>
        <w:rPr>
          <w:rFonts w:ascii="Traditional Arabic" w:hAnsi="Traditional Arabic" w:cs="Traditional Arabic"/>
          <w:sz w:val="32"/>
          <w:szCs w:val="32"/>
          <w:rtl/>
        </w:rPr>
      </w:pPr>
    </w:p>
    <w:p w14:paraId="74ABCDCA" w14:textId="77777777" w:rsidR="00CE4DEA" w:rsidRDefault="00CE4DEA" w:rsidP="00540437">
      <w:pPr>
        <w:bidi/>
        <w:spacing w:after="0" w:line="240" w:lineRule="auto"/>
        <w:rPr>
          <w:rFonts w:ascii="Traditional Arabic" w:hAnsi="Traditional Arabic" w:cs="Traditional Arabic"/>
          <w:sz w:val="32"/>
          <w:szCs w:val="32"/>
          <w:rtl/>
        </w:rPr>
      </w:pPr>
    </w:p>
    <w:p w14:paraId="7E02BBE2" w14:textId="77777777" w:rsidR="00CE4DEA" w:rsidRDefault="00CE4DEA" w:rsidP="00540437">
      <w:pPr>
        <w:bidi/>
        <w:spacing w:after="0" w:line="240" w:lineRule="auto"/>
        <w:rPr>
          <w:rFonts w:ascii="Traditional Arabic" w:hAnsi="Traditional Arabic" w:cs="Traditional Arabic"/>
          <w:sz w:val="32"/>
          <w:szCs w:val="32"/>
          <w:rtl/>
        </w:rPr>
      </w:pPr>
    </w:p>
    <w:p w14:paraId="49EED6E5" w14:textId="77777777" w:rsidR="00CE4DEA" w:rsidRDefault="00CE4DEA" w:rsidP="00540437">
      <w:pPr>
        <w:bidi/>
        <w:spacing w:after="0" w:line="240" w:lineRule="auto"/>
        <w:rPr>
          <w:rFonts w:ascii="Traditional Arabic" w:hAnsi="Traditional Arabic" w:cs="Traditional Arabic"/>
          <w:sz w:val="32"/>
          <w:szCs w:val="32"/>
          <w:rtl/>
        </w:rPr>
      </w:pPr>
    </w:p>
    <w:p w14:paraId="6AB6EA87" w14:textId="77777777" w:rsidR="00540437" w:rsidRDefault="00540437" w:rsidP="00540437">
      <w:pPr>
        <w:bidi/>
        <w:spacing w:after="0" w:line="240" w:lineRule="auto"/>
        <w:rPr>
          <w:rFonts w:ascii="Traditional Arabic" w:hAnsi="Traditional Arabic" w:cs="Traditional Arabic"/>
          <w:sz w:val="32"/>
          <w:szCs w:val="32"/>
          <w:rtl/>
        </w:rPr>
      </w:pPr>
    </w:p>
    <w:p w14:paraId="065026FF" w14:textId="77777777" w:rsidR="00540437" w:rsidRDefault="00540437" w:rsidP="00540437">
      <w:pPr>
        <w:bidi/>
        <w:spacing w:after="0" w:line="240" w:lineRule="auto"/>
        <w:rPr>
          <w:rFonts w:ascii="Traditional Arabic" w:hAnsi="Traditional Arabic" w:cs="Traditional Arabic"/>
          <w:sz w:val="32"/>
          <w:szCs w:val="32"/>
          <w:rtl/>
        </w:rPr>
      </w:pPr>
    </w:p>
    <w:p w14:paraId="4BF4B1F8" w14:textId="77777777" w:rsidR="00540437" w:rsidRDefault="00540437" w:rsidP="00540437">
      <w:pPr>
        <w:bidi/>
        <w:spacing w:after="0" w:line="240" w:lineRule="auto"/>
        <w:rPr>
          <w:rFonts w:ascii="Traditional Arabic" w:hAnsi="Traditional Arabic" w:cs="Traditional Arabic"/>
          <w:sz w:val="32"/>
          <w:szCs w:val="32"/>
          <w:rtl/>
        </w:rPr>
      </w:pPr>
    </w:p>
    <w:p w14:paraId="055C4CD1" w14:textId="77777777" w:rsidR="00540437" w:rsidRDefault="00540437" w:rsidP="00540437">
      <w:pPr>
        <w:bidi/>
        <w:spacing w:after="0" w:line="240" w:lineRule="auto"/>
        <w:rPr>
          <w:rFonts w:ascii="Traditional Arabic" w:hAnsi="Traditional Arabic" w:cs="Traditional Arabic"/>
          <w:sz w:val="32"/>
          <w:szCs w:val="32"/>
          <w:rtl/>
        </w:rPr>
      </w:pPr>
    </w:p>
    <w:p w14:paraId="40FB999C" w14:textId="65C551C9" w:rsidR="0011123F" w:rsidRPr="0011123F" w:rsidRDefault="00242401" w:rsidP="00242401">
      <w:pPr>
        <w:pStyle w:val="Lgende"/>
        <w:bidi/>
        <w:rPr>
          <w:sz w:val="32"/>
          <w:szCs w:val="32"/>
        </w:rPr>
      </w:pPr>
      <w:bookmarkStart w:id="25" w:name="_Toc231638590"/>
      <w:r>
        <w:rPr>
          <w:rtl/>
        </w:rPr>
        <w:lastRenderedPageBreak/>
        <w:t xml:space="preserve">الشكل رقم </w:t>
      </w:r>
      <w:r w:rsidR="009248E3">
        <w:fldChar w:fldCharType="begin"/>
      </w:r>
      <w:r w:rsidR="009248E3">
        <w:instrText xml:space="preserve"> SEQ </w:instrText>
      </w:r>
      <w:r w:rsidR="009248E3">
        <w:rPr>
          <w:rtl/>
        </w:rPr>
        <w:instrText>الشكل_رقم</w:instrText>
      </w:r>
      <w:r w:rsidR="009248E3">
        <w:instrText xml:space="preserve"> \* ARABIC </w:instrText>
      </w:r>
      <w:r w:rsidR="009248E3">
        <w:fldChar w:fldCharType="separate"/>
      </w:r>
      <w:r w:rsidR="00317D7C">
        <w:rPr>
          <w:noProof/>
        </w:rPr>
        <w:t>3</w:t>
      </w:r>
      <w:r w:rsidR="009248E3">
        <w:rPr>
          <w:noProof/>
        </w:rPr>
        <w:fldChar w:fldCharType="end"/>
      </w:r>
      <w:r>
        <w:rPr>
          <w:noProof/>
          <w:lang w:val="fr-FR"/>
        </w:rPr>
        <w:t xml:space="preserve"> </w:t>
      </w:r>
      <w:r w:rsidRPr="00921464">
        <w:rPr>
          <w:noProof/>
          <w:rtl/>
          <w:lang w:val="fr-FR"/>
        </w:rPr>
        <w:t>هيكل عملية التوريق في البنك الأهلي السعودي</w:t>
      </w:r>
      <w:bookmarkEnd w:id="25"/>
    </w:p>
    <w:p w14:paraId="0F40CB8B" w14:textId="77777777" w:rsidR="0011123F" w:rsidRPr="0011123F" w:rsidRDefault="0011123F" w:rsidP="00540437">
      <w:pPr>
        <w:bidi/>
        <w:rPr>
          <w:rFonts w:ascii="Traditional Arabic" w:hAnsi="Traditional Arabic" w:cs="Traditional Arabic"/>
          <w:i/>
          <w:iCs/>
          <w:sz w:val="32"/>
          <w:szCs w:val="32"/>
          <w:rtl/>
        </w:rPr>
      </w:pPr>
      <w:r>
        <w:rPr>
          <w:rFonts w:ascii="Traditional Arabic" w:hAnsi="Traditional Arabic" w:cs="Traditional Arabic"/>
          <w:i/>
          <w:iCs/>
          <w:noProof/>
          <w:sz w:val="32"/>
          <w:szCs w:val="32"/>
        </w:rPr>
        <w:drawing>
          <wp:inline distT="0" distB="0" distL="0" distR="0" wp14:anchorId="398C8929" wp14:editId="5F76B845">
            <wp:extent cx="5759450" cy="5772150"/>
            <wp:effectExtent l="0" t="0" r="0" b="0"/>
            <wp:docPr id="2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BEBA8EAE-BF5A-486C-A8C5-ECC9F3942E4B}">
                          <a14:imgProps xmlns:a14="http://schemas.microsoft.com/office/drawing/2010/main">
                            <a14:imgLayer r:embed="rId31">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60001" cy="5772702"/>
                    </a:xfrm>
                    <a:prstGeom prst="rect">
                      <a:avLst/>
                    </a:prstGeom>
                    <a:noFill/>
                  </pic:spPr>
                </pic:pic>
              </a:graphicData>
            </a:graphic>
          </wp:inline>
        </w:drawing>
      </w:r>
    </w:p>
    <w:p w14:paraId="43CD4D1E" w14:textId="1E195939" w:rsidR="0011123F" w:rsidRPr="007C492E"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المصدر: من إع</w:t>
      </w:r>
      <w:r w:rsidR="004B1BB8">
        <w:rPr>
          <w:rFonts w:ascii="Traditional Arabic" w:hAnsi="Traditional Arabic" w:cs="Traditional Arabic"/>
          <w:b/>
          <w:bCs/>
          <w:sz w:val="28"/>
          <w:szCs w:val="28"/>
          <w:rtl/>
        </w:rPr>
        <w:t>داد الطالب</w:t>
      </w:r>
      <w:r>
        <w:rPr>
          <w:rFonts w:ascii="Traditional Arabic" w:hAnsi="Traditional Arabic" w:cs="Traditional Arabic"/>
          <w:b/>
          <w:bCs/>
          <w:sz w:val="28"/>
          <w:szCs w:val="28"/>
          <w:rtl/>
        </w:rPr>
        <w:t xml:space="preserve"> بالاستناد إلى </w:t>
      </w:r>
      <w:proofErr w:type="spellStart"/>
      <w:r>
        <w:rPr>
          <w:rFonts w:ascii="Traditional Arabic" w:hAnsi="Traditional Arabic" w:cs="Traditional Arabic"/>
          <w:b/>
          <w:bCs/>
          <w:sz w:val="28"/>
          <w:szCs w:val="28"/>
          <w:rtl/>
        </w:rPr>
        <w:t>الجلنابي</w:t>
      </w:r>
      <w:proofErr w:type="spellEnd"/>
      <w:r>
        <w:rPr>
          <w:rFonts w:ascii="Traditional Arabic" w:hAnsi="Traditional Arabic" w:cs="Traditional Arabic"/>
          <w:b/>
          <w:bCs/>
          <w:sz w:val="28"/>
          <w:szCs w:val="28"/>
          <w:rtl/>
        </w:rPr>
        <w:t>، 2021؛ التقرير السنوي للبنك الأهلي السعودي، 2023.</w:t>
      </w:r>
    </w:p>
    <w:p w14:paraId="36144586" w14:textId="77777777" w:rsidR="007C492E" w:rsidRPr="00EC593C" w:rsidRDefault="00EC593C" w:rsidP="00540437">
      <w:pPr>
        <w:pStyle w:val="Sansinterligne"/>
        <w:bidi/>
        <w:rPr>
          <w:rFonts w:ascii="Traditional Arabic" w:hAnsi="Traditional Arabic" w:cs="Traditional Arabic"/>
          <w:sz w:val="32"/>
          <w:szCs w:val="32"/>
          <w:rtl/>
        </w:rPr>
      </w:pPr>
      <w:bookmarkStart w:id="26" w:name="ثانيا-الخطوات-التسلسلية-لعملية-التوريق"/>
      <w:bookmarkEnd w:id="24"/>
      <w:r>
        <w:rPr>
          <w:rFonts w:ascii="Traditional Arabic" w:hAnsi="Traditional Arabic" w:cs="Traditional Arabic"/>
          <w:sz w:val="32"/>
          <w:szCs w:val="32"/>
          <w:rtl/>
        </w:rPr>
        <w:t>يُقدّم الشكل التوضيحي رقم (3) قراءة نسقية متكاملة للعلاقات التعاقدية والإجرائية المكونة لهيكل عملية التوريق المالي في البنك الأهلي السعودي، مبرزاً آليات فصل الأصول وحماية الأطراف ذات العلاقة. وتبدأ هذه الدورة الائتمانية قيام البنك الأهلي السعودي (باعتباره الجهة الموجِهة والمنشِئة للأصول) بفرز محفظة الأصول المتمثلة في التمويل العقاري، الشخصي، والسيارات، ونقل ملكيتها القانونية والفعّالية عبر آلية البيع الحقيقي</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r>
        <w:rPr>
          <w:rFonts w:ascii="Traditional Arabic" w:hAnsi="Traditional Arabic" w:cs="Traditional Arabic"/>
          <w:sz w:val="32"/>
          <w:szCs w:val="32"/>
        </w:rPr>
        <w:t>True\ Sale</w:t>
      </w:r>
      <w:r>
        <w:rPr>
          <w:rFonts w:ascii="Traditional Arabic" w:hAnsi="Traditional Arabic" w:cs="Traditional Arabic" w:hint="cs"/>
          <w:sz w:val="32"/>
          <w:szCs w:val="32"/>
          <w:rtl/>
        </w:rPr>
        <w:t>)</w:t>
      </w:r>
      <w:r>
        <w:rPr>
          <w:rFonts w:ascii="Traditional Arabic" w:hAnsi="Traditional Arabic" w:cs="Traditional Arabic"/>
          <w:sz w:val="32"/>
          <w:szCs w:val="32"/>
        </w:rPr>
        <w:t xml:space="preserve"> </w:t>
      </w:r>
      <w:r>
        <w:rPr>
          <w:rFonts w:ascii="Traditional Arabic" w:hAnsi="Traditional Arabic" w:cs="Traditional Arabic"/>
          <w:sz w:val="32"/>
          <w:szCs w:val="32"/>
          <w:rtl/>
        </w:rPr>
        <w:t>إلى شركة الأغراض الخاصة</w:t>
      </w:r>
      <w:r>
        <w:rPr>
          <w:rFonts w:ascii="Traditional Arabic" w:hAnsi="Traditional Arabic" w:cs="Traditional Arabic"/>
          <w:sz w:val="32"/>
          <w:szCs w:val="32"/>
        </w:rPr>
        <w:t xml:space="preserve"> (SPV) </w:t>
      </w:r>
      <w:r>
        <w:rPr>
          <w:rFonts w:ascii="Traditional Arabic" w:hAnsi="Traditional Arabic" w:cs="Traditional Arabic"/>
          <w:sz w:val="32"/>
          <w:szCs w:val="32"/>
          <w:rtl/>
        </w:rPr>
        <w:t xml:space="preserve">المسماة 'الأهلي للتوريق المالي المحدودة'، والتي تتمتع باستقلالية قانونية ومالية تامة تحمي أوراق التوريق من مخاطر الإفلاس الحلقي للبنك. وفي المقابل، تقوم شركة الـ </w:t>
      </w:r>
      <w:r>
        <w:rPr>
          <w:rFonts w:ascii="Traditional Arabic" w:hAnsi="Traditional Arabic" w:cs="Traditional Arabic"/>
          <w:sz w:val="32"/>
          <w:szCs w:val="32"/>
        </w:rPr>
        <w:t xml:space="preserve">SPV </w:t>
      </w:r>
      <w:r>
        <w:rPr>
          <w:rFonts w:ascii="Traditional Arabic" w:hAnsi="Traditional Arabic" w:cs="Traditional Arabic"/>
          <w:sz w:val="32"/>
          <w:szCs w:val="32"/>
          <w:rtl/>
        </w:rPr>
        <w:t xml:space="preserve">بتحويل عائدات البيع النقدية الفورية إلى البنك المنشئ، بالتوازي مع إصدار الصكوك والأوراق المالية للمستثمرين </w:t>
      </w:r>
      <w:r>
        <w:rPr>
          <w:rFonts w:ascii="Traditional Arabic" w:hAnsi="Traditional Arabic" w:cs="Traditional Arabic"/>
          <w:sz w:val="32"/>
          <w:szCs w:val="32"/>
          <w:rtl/>
        </w:rPr>
        <w:lastRenderedPageBreak/>
        <w:t>(مثل شركات التأمين وصناديق الاستثمار) بناءً على التقييم الممنوح من وكالات التصنيف الائتماني الدولية</w:t>
      </w:r>
      <w:r>
        <w:rPr>
          <w:rFonts w:ascii="Traditional Arabic" w:hAnsi="Traditional Arabic" w:cs="Traditional Arabic"/>
          <w:sz w:val="32"/>
          <w:szCs w:val="32"/>
        </w:rPr>
        <w:t xml:space="preserve"> (Fitch / Moody's / CRISIL). </w:t>
      </w:r>
      <w:r>
        <w:rPr>
          <w:rFonts w:ascii="Traditional Arabic" w:hAnsi="Traditional Arabic" w:cs="Traditional Arabic"/>
          <w:sz w:val="32"/>
          <w:szCs w:val="32"/>
          <w:rtl/>
        </w:rPr>
        <w:t>وتتحول العلاقة التشغيلية لاحقاً إلى طور التدفقات النقدية الدورية المتمثلة في أقساط الديون الأصلية المستحقة، والتي يؤول عبء إدارتها وتوزيعها على المستثمرين إلى 'أمين الحفظ</w:t>
      </w:r>
      <w:r>
        <w:rPr>
          <w:rFonts w:ascii="Traditional Arabic" w:hAnsi="Traditional Arabic" w:cs="Traditional Arabic"/>
          <w:sz w:val="32"/>
          <w:szCs w:val="32"/>
        </w:rPr>
        <w:t xml:space="preserve">' (Trustee) </w:t>
      </w:r>
      <w:r>
        <w:rPr>
          <w:rFonts w:ascii="Traditional Arabic" w:hAnsi="Traditional Arabic" w:cs="Traditional Arabic"/>
          <w:sz w:val="32"/>
          <w:szCs w:val="32"/>
          <w:rtl/>
        </w:rPr>
        <w:t>المتمثل في بنك الرياض. وتكتمل هذه الهندسة المالية بخضوع كافة مراحل الإصدار لرقابة وإفصاح دوري مستمر تحت مظلة الجهات الرقابية السيادية بالمملكة والمتمثلة في هيئة السوق المالية</w:t>
      </w:r>
      <w:r>
        <w:rPr>
          <w:rFonts w:ascii="Traditional Arabic" w:hAnsi="Traditional Arabic" w:cs="Traditional Arabic"/>
          <w:sz w:val="32"/>
          <w:szCs w:val="32"/>
        </w:rPr>
        <w:t xml:space="preserve"> (CMA) </w:t>
      </w:r>
      <w:r>
        <w:rPr>
          <w:rFonts w:ascii="Traditional Arabic" w:hAnsi="Traditional Arabic" w:cs="Traditional Arabic"/>
          <w:sz w:val="32"/>
          <w:szCs w:val="32"/>
          <w:rtl/>
        </w:rPr>
        <w:t>والبنك المركزي السعودي</w:t>
      </w:r>
      <w:r>
        <w:rPr>
          <w:rFonts w:ascii="Traditional Arabic" w:hAnsi="Traditional Arabic" w:cs="Traditional Arabic"/>
          <w:sz w:val="32"/>
          <w:szCs w:val="32"/>
        </w:rPr>
        <w:t xml:space="preserve"> (SAMA). </w:t>
      </w:r>
      <w:r>
        <w:rPr>
          <w:rFonts w:ascii="Traditional Arabic" w:hAnsi="Traditional Arabic" w:cs="Traditional Arabic"/>
          <w:sz w:val="32"/>
          <w:szCs w:val="32"/>
          <w:rtl/>
        </w:rPr>
        <w:t>وبناءً على هذه المنظومة، نستنتج أن البنك نجح في صياغة نموذج تشغيلي صارم يفصل المخاطر ويضمن الكفاءة الائتمانية والرقابية</w:t>
      </w:r>
      <w:r>
        <w:rPr>
          <w:rFonts w:ascii="Traditional Arabic" w:hAnsi="Traditional Arabic" w:cs="Traditional Arabic"/>
          <w:sz w:val="32"/>
          <w:szCs w:val="32"/>
        </w:rPr>
        <w:t>.</w:t>
      </w:r>
    </w:p>
    <w:p w14:paraId="42BC066A" w14:textId="77777777" w:rsidR="0011123F" w:rsidRPr="00EC593C" w:rsidRDefault="0011123F" w:rsidP="00540437">
      <w:pPr>
        <w:pStyle w:val="Sansinterligne"/>
        <w:bidi/>
        <w:rPr>
          <w:rFonts w:ascii="Traditional Arabic" w:hAnsi="Traditional Arabic" w:cs="Traditional Arabic"/>
          <w:sz w:val="32"/>
          <w:szCs w:val="32"/>
        </w:rPr>
      </w:pPr>
      <w:r>
        <w:rPr>
          <w:rFonts w:ascii="Traditional Arabic" w:hAnsi="Traditional Arabic" w:cs="Traditional Arabic"/>
          <w:sz w:val="32"/>
          <w:szCs w:val="32"/>
          <w:rtl/>
        </w:rPr>
        <w:t>ثانياً: الخطوات التسلسلية لعملية التوريق</w:t>
      </w:r>
    </w:p>
    <w:p w14:paraId="424ED717" w14:textId="77777777" w:rsidR="0011123F" w:rsidRPr="0011123F" w:rsidRDefault="0011123F" w:rsidP="00540437">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تسير عملية التوريق في البنك الأهلي السعودي وفق سلسلة منهجية متكاملة يمكن توضيحها كما يلي:</w:t>
      </w:r>
    </w:p>
    <w:p w14:paraId="659E6B3D" w14:textId="1B8E5277" w:rsidR="0011123F" w:rsidRPr="0011123F" w:rsidRDefault="00242401" w:rsidP="00242401">
      <w:pPr>
        <w:pStyle w:val="Lgende"/>
        <w:bidi/>
        <w:rPr>
          <w:sz w:val="32"/>
          <w:szCs w:val="32"/>
        </w:rPr>
      </w:pPr>
      <w:bookmarkStart w:id="27" w:name="_Toc231638651"/>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8</w:t>
      </w:r>
      <w:r w:rsidR="009248E3">
        <w:rPr>
          <w:noProof/>
        </w:rPr>
        <w:fldChar w:fldCharType="end"/>
      </w:r>
      <w:r>
        <w:rPr>
          <w:noProof/>
          <w:lang w:val="fr-FR"/>
        </w:rPr>
        <w:t xml:space="preserve"> </w:t>
      </w:r>
      <w:r w:rsidRPr="00BB7E0A">
        <w:rPr>
          <w:noProof/>
          <w:rtl/>
          <w:lang w:val="fr-FR"/>
        </w:rPr>
        <w:t>مراحل تنفيذ عملية التوريق في البنك الأهلي السعودي</w:t>
      </w:r>
      <w:bookmarkEnd w:id="27"/>
    </w:p>
    <w:tbl>
      <w:tblPr>
        <w:tblStyle w:val="Grilledutableau"/>
        <w:bidiVisual/>
        <w:tblW w:w="5000" w:type="pct"/>
        <w:tblLayout w:type="fixed"/>
        <w:tblLook w:val="0020" w:firstRow="1" w:lastRow="0" w:firstColumn="0" w:lastColumn="0" w:noHBand="0" w:noVBand="0"/>
      </w:tblPr>
      <w:tblGrid>
        <w:gridCol w:w="1480"/>
        <w:gridCol w:w="2625"/>
        <w:gridCol w:w="1998"/>
        <w:gridCol w:w="2959"/>
      </w:tblGrid>
      <w:tr w:rsidR="0011123F" w:rsidRPr="0011123F" w14:paraId="6058533D" w14:textId="77777777" w:rsidTr="0011123F">
        <w:tc>
          <w:tcPr>
            <w:tcW w:w="1480" w:type="dxa"/>
          </w:tcPr>
          <w:p w14:paraId="0984F3D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المرحلة</w:t>
            </w:r>
          </w:p>
        </w:tc>
        <w:tc>
          <w:tcPr>
            <w:tcW w:w="2625" w:type="dxa"/>
          </w:tcPr>
          <w:p w14:paraId="4C8BD33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الإجراء</w:t>
            </w:r>
          </w:p>
        </w:tc>
        <w:tc>
          <w:tcPr>
            <w:tcW w:w="1998" w:type="dxa"/>
          </w:tcPr>
          <w:p w14:paraId="2B333A8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الجهة المسؤولة</w:t>
            </w:r>
          </w:p>
        </w:tc>
        <w:tc>
          <w:tcPr>
            <w:tcW w:w="2959" w:type="dxa"/>
          </w:tcPr>
          <w:p w14:paraId="67591A7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المدة التقريبية</w:t>
            </w:r>
          </w:p>
        </w:tc>
      </w:tr>
      <w:tr w:rsidR="0011123F" w:rsidRPr="0011123F" w14:paraId="2F14F1AE" w14:textId="77777777" w:rsidTr="0011123F">
        <w:tc>
          <w:tcPr>
            <w:tcW w:w="1480" w:type="dxa"/>
          </w:tcPr>
          <w:p w14:paraId="377E447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1</w:t>
            </w:r>
          </w:p>
        </w:tc>
        <w:tc>
          <w:tcPr>
            <w:tcW w:w="2625" w:type="dxa"/>
          </w:tcPr>
          <w:p w14:paraId="02158C5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تحديد المحفظة الائتمانية القابلة للتوريق وفرزها</w:t>
            </w:r>
          </w:p>
        </w:tc>
        <w:tc>
          <w:tcPr>
            <w:tcW w:w="1998" w:type="dxa"/>
          </w:tcPr>
          <w:p w14:paraId="0FB653F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إدارة المخاطر بالبنك</w:t>
            </w:r>
          </w:p>
        </w:tc>
        <w:tc>
          <w:tcPr>
            <w:tcW w:w="2959" w:type="dxa"/>
          </w:tcPr>
          <w:p w14:paraId="60BF89C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4–6 أسابيع</w:t>
            </w:r>
          </w:p>
        </w:tc>
      </w:tr>
      <w:tr w:rsidR="0011123F" w:rsidRPr="0011123F" w14:paraId="2AEEF993" w14:textId="77777777" w:rsidTr="0011123F">
        <w:tc>
          <w:tcPr>
            <w:tcW w:w="1480" w:type="dxa"/>
          </w:tcPr>
          <w:p w14:paraId="5188730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2</w:t>
            </w:r>
          </w:p>
        </w:tc>
        <w:tc>
          <w:tcPr>
            <w:tcW w:w="2625" w:type="dxa"/>
          </w:tcPr>
          <w:p w14:paraId="7AB0E28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إجراء تقييم داخلي لجودة الأصول وتدفقاتها</w:t>
            </w:r>
          </w:p>
        </w:tc>
        <w:tc>
          <w:tcPr>
            <w:tcW w:w="1998" w:type="dxa"/>
          </w:tcPr>
          <w:p w14:paraId="6EF0185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وحدة التوريق الداخلية</w:t>
            </w:r>
          </w:p>
        </w:tc>
        <w:tc>
          <w:tcPr>
            <w:tcW w:w="2959" w:type="dxa"/>
          </w:tcPr>
          <w:p w14:paraId="0BE352D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2–3 أسابيع</w:t>
            </w:r>
          </w:p>
        </w:tc>
      </w:tr>
      <w:tr w:rsidR="0011123F" w:rsidRPr="0011123F" w14:paraId="4C4E9365" w14:textId="77777777" w:rsidTr="0011123F">
        <w:tc>
          <w:tcPr>
            <w:tcW w:w="1480" w:type="dxa"/>
          </w:tcPr>
          <w:p w14:paraId="2CE9379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3</w:t>
            </w:r>
          </w:p>
        </w:tc>
        <w:tc>
          <w:tcPr>
            <w:tcW w:w="2625" w:type="dxa"/>
          </w:tcPr>
          <w:p w14:paraId="0A06AF1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إنشاء شركة الأغراض الخاصة (SPV) وإعداد العقود القانونية</w:t>
            </w:r>
          </w:p>
        </w:tc>
        <w:tc>
          <w:tcPr>
            <w:tcW w:w="1998" w:type="dxa"/>
          </w:tcPr>
          <w:p w14:paraId="3D77DC4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المستشارون القانونيون</w:t>
            </w:r>
          </w:p>
        </w:tc>
        <w:tc>
          <w:tcPr>
            <w:tcW w:w="2959" w:type="dxa"/>
          </w:tcPr>
          <w:p w14:paraId="3A4A37E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4–8 أسابيع</w:t>
            </w:r>
          </w:p>
        </w:tc>
      </w:tr>
      <w:tr w:rsidR="0011123F" w:rsidRPr="0011123F" w14:paraId="0E429282" w14:textId="77777777" w:rsidTr="0011123F">
        <w:tc>
          <w:tcPr>
            <w:tcW w:w="1480" w:type="dxa"/>
          </w:tcPr>
          <w:p w14:paraId="7D796FA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4</w:t>
            </w:r>
          </w:p>
        </w:tc>
        <w:tc>
          <w:tcPr>
            <w:tcW w:w="2625" w:type="dxa"/>
          </w:tcPr>
          <w:p w14:paraId="36BDD52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نقل ملكية الأصول إلى SPV (</w:t>
            </w:r>
            <w:proofErr w:type="spellStart"/>
            <w:r>
              <w:rPr>
                <w:rFonts w:ascii="Traditional Arabic" w:hAnsi="Traditional Arabic" w:cs="Traditional Arabic"/>
                <w:sz w:val="32"/>
                <w:szCs w:val="32"/>
                <w:rtl/>
              </w:rPr>
              <w:t>True</w:t>
            </w:r>
            <w:proofErr w:type="spellEnd"/>
            <w:r>
              <w:rPr>
                <w:rFonts w:ascii="Traditional Arabic" w:hAnsi="Traditional Arabic" w:cs="Traditional Arabic"/>
                <w:sz w:val="32"/>
                <w:szCs w:val="32"/>
                <w:rtl/>
              </w:rPr>
              <w:t xml:space="preserve"> </w:t>
            </w:r>
            <w:proofErr w:type="spellStart"/>
            <w:r>
              <w:rPr>
                <w:rFonts w:ascii="Traditional Arabic" w:hAnsi="Traditional Arabic" w:cs="Traditional Arabic"/>
                <w:sz w:val="32"/>
                <w:szCs w:val="32"/>
                <w:rtl/>
              </w:rPr>
              <w:t>Sale</w:t>
            </w:r>
            <w:proofErr w:type="spellEnd"/>
            <w:r>
              <w:rPr>
                <w:rFonts w:ascii="Traditional Arabic" w:hAnsi="Traditional Arabic" w:cs="Traditional Arabic"/>
                <w:sz w:val="32"/>
                <w:szCs w:val="32"/>
                <w:rtl/>
              </w:rPr>
              <w:t>)</w:t>
            </w:r>
          </w:p>
        </w:tc>
        <w:tc>
          <w:tcPr>
            <w:tcW w:w="1998" w:type="dxa"/>
          </w:tcPr>
          <w:p w14:paraId="2BA61CF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البنك + محامون معتمدون</w:t>
            </w:r>
          </w:p>
        </w:tc>
        <w:tc>
          <w:tcPr>
            <w:tcW w:w="2959" w:type="dxa"/>
          </w:tcPr>
          <w:p w14:paraId="1EB12E1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أسبوع واحد</w:t>
            </w:r>
          </w:p>
        </w:tc>
      </w:tr>
      <w:tr w:rsidR="0011123F" w:rsidRPr="0011123F" w14:paraId="6B6C1319" w14:textId="77777777" w:rsidTr="0011123F">
        <w:tc>
          <w:tcPr>
            <w:tcW w:w="1480" w:type="dxa"/>
          </w:tcPr>
          <w:p w14:paraId="2AFB50C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5</w:t>
            </w:r>
          </w:p>
        </w:tc>
        <w:tc>
          <w:tcPr>
            <w:tcW w:w="2625" w:type="dxa"/>
          </w:tcPr>
          <w:p w14:paraId="0655D98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طلب التصنيف الائتماني من وكالات دولية (</w:t>
            </w:r>
            <w:proofErr w:type="spellStart"/>
            <w:r>
              <w:rPr>
                <w:rFonts w:ascii="Traditional Arabic" w:hAnsi="Traditional Arabic" w:cs="Traditional Arabic"/>
                <w:sz w:val="32"/>
                <w:szCs w:val="32"/>
                <w:rtl/>
              </w:rPr>
              <w:t>Fitch</w:t>
            </w:r>
            <w:proofErr w:type="spellEnd"/>
            <w:r>
              <w:rPr>
                <w:rFonts w:ascii="Traditional Arabic" w:hAnsi="Traditional Arabic" w:cs="Traditional Arabic"/>
                <w:sz w:val="32"/>
                <w:szCs w:val="32"/>
                <w:rtl/>
              </w:rPr>
              <w:t>/</w:t>
            </w:r>
            <w:proofErr w:type="spellStart"/>
            <w:r>
              <w:rPr>
                <w:rFonts w:ascii="Traditional Arabic" w:hAnsi="Traditional Arabic" w:cs="Traditional Arabic"/>
                <w:sz w:val="32"/>
                <w:szCs w:val="32"/>
                <w:rtl/>
              </w:rPr>
              <w:t>Moody’s</w:t>
            </w:r>
            <w:proofErr w:type="spellEnd"/>
            <w:r>
              <w:rPr>
                <w:rFonts w:ascii="Traditional Arabic" w:hAnsi="Traditional Arabic" w:cs="Traditional Arabic"/>
                <w:sz w:val="32"/>
                <w:szCs w:val="32"/>
                <w:rtl/>
              </w:rPr>
              <w:t>)</w:t>
            </w:r>
          </w:p>
        </w:tc>
        <w:tc>
          <w:tcPr>
            <w:tcW w:w="1998" w:type="dxa"/>
          </w:tcPr>
          <w:p w14:paraId="2687BD1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SPV + البنك</w:t>
            </w:r>
          </w:p>
        </w:tc>
        <w:tc>
          <w:tcPr>
            <w:tcW w:w="2959" w:type="dxa"/>
          </w:tcPr>
          <w:p w14:paraId="406E883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6–8 أسابيع</w:t>
            </w:r>
          </w:p>
        </w:tc>
      </w:tr>
      <w:tr w:rsidR="0011123F" w:rsidRPr="0011123F" w14:paraId="59179960" w14:textId="77777777" w:rsidTr="0011123F">
        <w:tc>
          <w:tcPr>
            <w:tcW w:w="1480" w:type="dxa"/>
          </w:tcPr>
          <w:p w14:paraId="2C25889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6</w:t>
            </w:r>
          </w:p>
        </w:tc>
        <w:tc>
          <w:tcPr>
            <w:tcW w:w="2625" w:type="dxa"/>
          </w:tcPr>
          <w:p w14:paraId="36F6C37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هيكلة الشرائح (</w:t>
            </w:r>
            <w:proofErr w:type="spellStart"/>
            <w:r>
              <w:rPr>
                <w:rFonts w:ascii="Traditional Arabic" w:hAnsi="Traditional Arabic" w:cs="Traditional Arabic"/>
                <w:sz w:val="32"/>
                <w:szCs w:val="32"/>
                <w:rtl/>
              </w:rPr>
              <w:t>Senior</w:t>
            </w:r>
            <w:proofErr w:type="spellEnd"/>
            <w:r>
              <w:rPr>
                <w:rFonts w:ascii="Traditional Arabic" w:hAnsi="Traditional Arabic" w:cs="Traditional Arabic"/>
                <w:sz w:val="32"/>
                <w:szCs w:val="32"/>
                <w:rtl/>
              </w:rPr>
              <w:t xml:space="preserve"> / </w:t>
            </w:r>
            <w:proofErr w:type="spellStart"/>
            <w:r>
              <w:rPr>
                <w:rFonts w:ascii="Traditional Arabic" w:hAnsi="Traditional Arabic" w:cs="Traditional Arabic"/>
                <w:sz w:val="32"/>
                <w:szCs w:val="32"/>
                <w:rtl/>
              </w:rPr>
              <w:t>Mezzanine</w:t>
            </w:r>
            <w:proofErr w:type="spellEnd"/>
            <w:r>
              <w:rPr>
                <w:rFonts w:ascii="Traditional Arabic" w:hAnsi="Traditional Arabic" w:cs="Traditional Arabic"/>
                <w:sz w:val="32"/>
                <w:szCs w:val="32"/>
                <w:rtl/>
              </w:rPr>
              <w:t xml:space="preserve"> / </w:t>
            </w:r>
            <w:proofErr w:type="spellStart"/>
            <w:r>
              <w:rPr>
                <w:rFonts w:ascii="Traditional Arabic" w:hAnsi="Traditional Arabic" w:cs="Traditional Arabic"/>
                <w:sz w:val="32"/>
                <w:szCs w:val="32"/>
                <w:rtl/>
              </w:rPr>
              <w:t>Junior</w:t>
            </w:r>
            <w:proofErr w:type="spellEnd"/>
            <w:r>
              <w:rPr>
                <w:rFonts w:ascii="Traditional Arabic" w:hAnsi="Traditional Arabic" w:cs="Traditional Arabic"/>
                <w:sz w:val="32"/>
                <w:szCs w:val="32"/>
                <w:rtl/>
              </w:rPr>
              <w:t>)</w:t>
            </w:r>
          </w:p>
        </w:tc>
        <w:tc>
          <w:tcPr>
            <w:tcW w:w="1998" w:type="dxa"/>
          </w:tcPr>
          <w:p w14:paraId="33B6145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مدير الإصدار</w:t>
            </w:r>
          </w:p>
        </w:tc>
        <w:tc>
          <w:tcPr>
            <w:tcW w:w="2959" w:type="dxa"/>
          </w:tcPr>
          <w:p w14:paraId="6B37DC9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2–3 أسابيع</w:t>
            </w:r>
          </w:p>
        </w:tc>
      </w:tr>
      <w:tr w:rsidR="0011123F" w:rsidRPr="0011123F" w14:paraId="31084BA3" w14:textId="77777777" w:rsidTr="0011123F">
        <w:tc>
          <w:tcPr>
            <w:tcW w:w="1480" w:type="dxa"/>
          </w:tcPr>
          <w:p w14:paraId="7963DB0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7</w:t>
            </w:r>
          </w:p>
        </w:tc>
        <w:tc>
          <w:tcPr>
            <w:tcW w:w="2625" w:type="dxa"/>
          </w:tcPr>
          <w:p w14:paraId="06D59B1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إصدار الصكوك/الأوراق المالية وطرحها في السوق</w:t>
            </w:r>
          </w:p>
        </w:tc>
        <w:tc>
          <w:tcPr>
            <w:tcW w:w="1998" w:type="dxa"/>
          </w:tcPr>
          <w:p w14:paraId="4BAC9B2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SPV + بنك استثماري</w:t>
            </w:r>
          </w:p>
        </w:tc>
        <w:tc>
          <w:tcPr>
            <w:tcW w:w="2959" w:type="dxa"/>
          </w:tcPr>
          <w:p w14:paraId="37C8E50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أسبوعان</w:t>
            </w:r>
          </w:p>
        </w:tc>
      </w:tr>
      <w:tr w:rsidR="0011123F" w:rsidRPr="0011123F" w14:paraId="3813C7D4" w14:textId="77777777" w:rsidTr="0011123F">
        <w:tc>
          <w:tcPr>
            <w:tcW w:w="1480" w:type="dxa"/>
          </w:tcPr>
          <w:p w14:paraId="264A883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lastRenderedPageBreak/>
              <w:t>8</w:t>
            </w:r>
          </w:p>
        </w:tc>
        <w:tc>
          <w:tcPr>
            <w:tcW w:w="2625" w:type="dxa"/>
          </w:tcPr>
          <w:p w14:paraId="1458F50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توزيع التدفقات النقدية على المستثمرين</w:t>
            </w:r>
          </w:p>
        </w:tc>
        <w:tc>
          <w:tcPr>
            <w:tcW w:w="1998" w:type="dxa"/>
          </w:tcPr>
          <w:p w14:paraId="33BC22B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أمين الحفظ</w:t>
            </w:r>
          </w:p>
        </w:tc>
        <w:tc>
          <w:tcPr>
            <w:tcW w:w="2959" w:type="dxa"/>
          </w:tcPr>
          <w:p w14:paraId="538BDFC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دوري (شهري/ربعي)</w:t>
            </w:r>
          </w:p>
        </w:tc>
      </w:tr>
      <w:tr w:rsidR="0011123F" w:rsidRPr="0011123F" w14:paraId="1B1A434D" w14:textId="77777777" w:rsidTr="0011123F">
        <w:tc>
          <w:tcPr>
            <w:tcW w:w="1480" w:type="dxa"/>
          </w:tcPr>
          <w:p w14:paraId="69E5EC4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9</w:t>
            </w:r>
          </w:p>
        </w:tc>
        <w:tc>
          <w:tcPr>
            <w:tcW w:w="2625" w:type="dxa"/>
          </w:tcPr>
          <w:p w14:paraId="34A5441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الإفصاح والرقابة المستمرة</w:t>
            </w:r>
          </w:p>
        </w:tc>
        <w:tc>
          <w:tcPr>
            <w:tcW w:w="1998" w:type="dxa"/>
          </w:tcPr>
          <w:p w14:paraId="4332155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CMA + ساما</w:t>
            </w:r>
          </w:p>
        </w:tc>
        <w:tc>
          <w:tcPr>
            <w:tcW w:w="2959" w:type="dxa"/>
          </w:tcPr>
          <w:p w14:paraId="7368EB5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مستمر</w:t>
            </w:r>
          </w:p>
        </w:tc>
      </w:tr>
    </w:tbl>
    <w:p w14:paraId="5994A5D5" w14:textId="77777777" w:rsidR="0011123F" w:rsidRPr="007C492E" w:rsidRDefault="0011123F" w:rsidP="00540437">
      <w:pPr>
        <w:bidi/>
        <w:spacing w:after="0"/>
        <w:rPr>
          <w:rFonts w:ascii="Traditional Arabic" w:hAnsi="Traditional Arabic" w:cs="Traditional Arabic"/>
          <w:b/>
          <w:bCs/>
          <w:sz w:val="28"/>
          <w:szCs w:val="28"/>
        </w:rPr>
      </w:pPr>
      <w:r>
        <w:rPr>
          <w:rFonts w:ascii="Traditional Arabic" w:hAnsi="Traditional Arabic" w:cs="Traditional Arabic"/>
          <w:b/>
          <w:bCs/>
          <w:sz w:val="28"/>
          <w:szCs w:val="28"/>
          <w:rtl/>
        </w:rPr>
        <w:t xml:space="preserve">المصدر: </w:t>
      </w:r>
      <w:proofErr w:type="spellStart"/>
      <w:r>
        <w:rPr>
          <w:rFonts w:ascii="Traditional Arabic" w:hAnsi="Traditional Arabic" w:cs="Traditional Arabic"/>
          <w:b/>
          <w:bCs/>
          <w:sz w:val="28"/>
          <w:szCs w:val="28"/>
          <w:rtl/>
        </w:rPr>
        <w:t>بوزياني</w:t>
      </w:r>
      <w:proofErr w:type="spellEnd"/>
      <w:r>
        <w:rPr>
          <w:rFonts w:ascii="Traditional Arabic" w:hAnsi="Traditional Arabic" w:cs="Traditional Arabic"/>
          <w:b/>
          <w:bCs/>
          <w:sz w:val="28"/>
          <w:szCs w:val="28"/>
          <w:rtl/>
        </w:rPr>
        <w:t xml:space="preserve"> وحليلو، 2022؛ </w:t>
      </w:r>
      <w:proofErr w:type="spellStart"/>
      <w:r>
        <w:rPr>
          <w:rFonts w:ascii="Traditional Arabic" w:hAnsi="Traditional Arabic" w:cs="Traditional Arabic"/>
          <w:b/>
          <w:bCs/>
          <w:sz w:val="28"/>
          <w:szCs w:val="28"/>
          <w:rtl/>
        </w:rPr>
        <w:t>الجلنابي</w:t>
      </w:r>
      <w:proofErr w:type="spellEnd"/>
      <w:r>
        <w:rPr>
          <w:rFonts w:ascii="Traditional Arabic" w:hAnsi="Traditional Arabic" w:cs="Traditional Arabic"/>
          <w:b/>
          <w:bCs/>
          <w:sz w:val="28"/>
          <w:szCs w:val="28"/>
          <w:rtl/>
        </w:rPr>
        <w:t>، 2021؛ التقارير السنوية لـ SNB.</w:t>
      </w:r>
    </w:p>
    <w:p w14:paraId="36AAB372" w14:textId="77777777" w:rsidR="0011123F" w:rsidRPr="0011123F" w:rsidRDefault="00536794" w:rsidP="00540437">
      <w:pPr>
        <w:bidi/>
        <w:spacing w:after="0"/>
        <w:rPr>
          <w:rFonts w:ascii="Traditional Arabic" w:hAnsi="Traditional Arabic" w:cs="Traditional Arabic"/>
          <w:sz w:val="32"/>
          <w:szCs w:val="32"/>
        </w:rPr>
      </w:pPr>
      <w:r>
        <w:rPr>
          <w:rFonts w:ascii="Traditional Arabic" w:hAnsi="Traditional Arabic" w:cs="Traditional Arabic"/>
          <w:sz w:val="32"/>
          <w:szCs w:val="32"/>
          <w:rtl/>
        </w:rPr>
        <w:t xml:space="preserve">يُقدّم الجدول رقم (5) نموذجاً إجرائياً متكاملاً للهندسة المالية المتبعة في تنفيذ عمليات التوريق داخل البنك الأهلي السعودي، والتي تتوزع على تسع مراحل استراتيجية تضمن الفصل القانوني والمالي التام للأصول. تبدأ الدورة بالجانب </w:t>
      </w:r>
      <w:proofErr w:type="spellStart"/>
      <w:r>
        <w:rPr>
          <w:rFonts w:ascii="Traditional Arabic" w:hAnsi="Traditional Arabic" w:cs="Traditional Arabic"/>
          <w:sz w:val="32"/>
          <w:szCs w:val="32"/>
          <w:rtl/>
        </w:rPr>
        <w:t>الحمائي</w:t>
      </w:r>
      <w:proofErr w:type="spellEnd"/>
      <w:r>
        <w:rPr>
          <w:rFonts w:ascii="Traditional Arabic" w:hAnsi="Traditional Arabic" w:cs="Traditional Arabic"/>
          <w:sz w:val="32"/>
          <w:szCs w:val="32"/>
          <w:rtl/>
        </w:rPr>
        <w:t xml:space="preserve"> التشغيلي من خلال فرز وتحديد المحفظة الائتمانية المؤهلة بواسطة 'إدارة المخاطر' (4-6 أسابيع)، يليه تقييم جودة التدفقات النقدية عبر 'وحدة التوريق الداخلية' (2-3 أسابيع). وتنتقل العملية إلى الطور القانوني والمؤسسي الحاسم بتأسيس شركة الأغراض الخاصة</w:t>
      </w:r>
      <w:r>
        <w:rPr>
          <w:rFonts w:ascii="Traditional Arabic" w:hAnsi="Traditional Arabic" w:cs="Traditional Arabic"/>
          <w:sz w:val="32"/>
          <w:szCs w:val="32"/>
        </w:rPr>
        <w:t xml:space="preserve"> (SPV) </w:t>
      </w:r>
      <w:r>
        <w:rPr>
          <w:rFonts w:ascii="Traditional Arabic" w:hAnsi="Traditional Arabic" w:cs="Traditional Arabic"/>
          <w:sz w:val="32"/>
          <w:szCs w:val="32"/>
          <w:rtl/>
        </w:rPr>
        <w:t>وإعداد العقود عبر المستشارين القانونيين (4-8 أسابيع)، لتنفيذ عملية البيع الحقيقي والنقل الفعلي للملكية</w:t>
      </w:r>
      <w:r>
        <w:rPr>
          <w:rFonts w:ascii="Traditional Arabic" w:hAnsi="Traditional Arabic" w:cs="Traditional Arabic"/>
          <w:sz w:val="32"/>
          <w:szCs w:val="32"/>
        </w:rPr>
        <w:t xml:space="preserve"> (True\ Sale) </w:t>
      </w:r>
      <w:r>
        <w:rPr>
          <w:rFonts w:ascii="Traditional Arabic" w:hAnsi="Traditional Arabic" w:cs="Traditional Arabic"/>
          <w:sz w:val="32"/>
          <w:szCs w:val="32"/>
          <w:rtl/>
        </w:rPr>
        <w:t>في غضون أسبوع واحد لضمان حماية الأصول من مخاطر الإفلاس الحلقي للبنك المنشئ. وعقب ذلك، تبدأ مرحلة الهيكلة المالية والتسعير؛ حيث يُطلب التصنيف الائتماني من وكالات دولية مثل</w:t>
      </w:r>
      <w:r>
        <w:rPr>
          <w:rFonts w:ascii="Traditional Arabic" w:hAnsi="Traditional Arabic" w:cs="Traditional Arabic"/>
          <w:sz w:val="32"/>
          <w:szCs w:val="32"/>
        </w:rPr>
        <w:t xml:space="preserve"> (Fitch/Moody's) </w:t>
      </w:r>
      <w:r>
        <w:rPr>
          <w:rFonts w:ascii="Traditional Arabic" w:hAnsi="Traditional Arabic" w:cs="Traditional Arabic"/>
          <w:sz w:val="32"/>
          <w:szCs w:val="32"/>
          <w:rtl/>
        </w:rPr>
        <w:t>لضمان الجاذبية الاستثمارية (6-8 أسابيع)، تليها هندسة وتقسيم الإصدار إلى شرائح تمويلية متعددة المخاطر والعوائد</w:t>
      </w:r>
      <w:r>
        <w:rPr>
          <w:rFonts w:ascii="Traditional Arabic" w:hAnsi="Traditional Arabic" w:cs="Traditional Arabic"/>
          <w:sz w:val="32"/>
          <w:szCs w:val="32"/>
        </w:rPr>
        <w:t xml:space="preserve"> (Senior\ /\ Mezzanine\ /\ Junior) </w:t>
      </w:r>
      <w:r>
        <w:rPr>
          <w:rFonts w:ascii="Traditional Arabic" w:hAnsi="Traditional Arabic" w:cs="Traditional Arabic"/>
          <w:sz w:val="32"/>
          <w:szCs w:val="32"/>
          <w:rtl/>
        </w:rPr>
        <w:t>بواسطة مدير الإصدار (2-3 أسابيع)، ليقوم بعد ذلك البنك الاستثماري بطرح الصكوك والأوراق المالية في السوق خلال أسبوعين. وتختتم هذه المنظومة بالجانب التشغيلي المستمر المتمثل في توزيع التدفقات النقدية الدورية على المستثمرين عبر 'أمين الحفظ'، بالتوازي مع الخضوع لرقابة وإفصاح مستمرين تشترك فيهما هيئة السوق المالية</w:t>
      </w:r>
      <w:r>
        <w:rPr>
          <w:rFonts w:ascii="Traditional Arabic" w:hAnsi="Traditional Arabic" w:cs="Traditional Arabic"/>
          <w:sz w:val="32"/>
          <w:szCs w:val="32"/>
        </w:rPr>
        <w:t xml:space="preserve"> (CMA) </w:t>
      </w:r>
      <w:r>
        <w:rPr>
          <w:rFonts w:ascii="Traditional Arabic" w:hAnsi="Traditional Arabic" w:cs="Traditional Arabic"/>
          <w:sz w:val="32"/>
          <w:szCs w:val="32"/>
          <w:rtl/>
        </w:rPr>
        <w:t>والبنك المركزي السعودي</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r>
        <w:rPr>
          <w:rFonts w:ascii="Traditional Arabic" w:hAnsi="Traditional Arabic" w:cs="Traditional Arabic"/>
          <w:sz w:val="32"/>
          <w:szCs w:val="32"/>
          <w:rtl/>
        </w:rPr>
        <w:t>ساما</w:t>
      </w:r>
      <w:r>
        <w:rPr>
          <w:rFonts w:ascii="Traditional Arabic" w:hAnsi="Traditional Arabic" w:cs="Traditional Arabic" w:hint="cs"/>
          <w:sz w:val="32"/>
          <w:szCs w:val="32"/>
          <w:rtl/>
        </w:rPr>
        <w:t>)</w:t>
      </w:r>
      <w:r>
        <w:rPr>
          <w:rFonts w:ascii="Traditional Arabic" w:hAnsi="Traditional Arabic" w:cs="Traditional Arabic"/>
          <w:sz w:val="32"/>
          <w:szCs w:val="32"/>
        </w:rPr>
        <w:t xml:space="preserve">. </w:t>
      </w:r>
      <w:r>
        <w:rPr>
          <w:rFonts w:ascii="Traditional Arabic" w:hAnsi="Traditional Arabic" w:cs="Traditional Arabic"/>
          <w:sz w:val="32"/>
          <w:szCs w:val="32"/>
          <w:rtl/>
        </w:rPr>
        <w:t>وبناءً على هذا التسلسل، نستنتج أن هندسة التوريق في البنك الأهلي السعودي تخضع لضوابط زمنية ورقابية صارمة تمزج بين الكفاءة التشغيلية، والتحوط الائتماني، والامتثال التشريعي المطلق</w:t>
      </w:r>
      <w:r>
        <w:rPr>
          <w:rFonts w:ascii="Traditional Arabic" w:hAnsi="Traditional Arabic" w:cs="Traditional Arabic"/>
          <w:sz w:val="32"/>
          <w:szCs w:val="32"/>
        </w:rPr>
        <w:t>.</w:t>
      </w:r>
    </w:p>
    <w:p w14:paraId="4DB2F8CD" w14:textId="77777777" w:rsidR="00CE4DEA" w:rsidRDefault="00CE4DEA" w:rsidP="00540437">
      <w:pPr>
        <w:pStyle w:val="Titre3"/>
        <w:bidi/>
        <w:rPr>
          <w:rFonts w:ascii="Traditional Arabic" w:hAnsi="Traditional Arabic" w:cs="Traditional Arabic"/>
          <w:sz w:val="36"/>
          <w:szCs w:val="36"/>
          <w:rtl/>
        </w:rPr>
      </w:pPr>
      <w:bookmarkStart w:id="28" w:name="X13a7e62a35bde34d2570d2602952fb58f966454"/>
      <w:bookmarkEnd w:id="23"/>
      <w:bookmarkEnd w:id="26"/>
    </w:p>
    <w:p w14:paraId="65FFA8E3" w14:textId="77777777" w:rsidR="00540437" w:rsidRDefault="00540437" w:rsidP="00540437">
      <w:pPr>
        <w:pStyle w:val="Titre3"/>
        <w:bidi/>
        <w:rPr>
          <w:rFonts w:ascii="Traditional Arabic" w:hAnsi="Traditional Arabic" w:cs="Traditional Arabic"/>
          <w:sz w:val="36"/>
          <w:szCs w:val="36"/>
          <w:rtl/>
        </w:rPr>
      </w:pPr>
    </w:p>
    <w:p w14:paraId="1BFEF332" w14:textId="77777777" w:rsidR="00540437" w:rsidRDefault="00540437" w:rsidP="00540437">
      <w:pPr>
        <w:pStyle w:val="Titre3"/>
        <w:bidi/>
        <w:rPr>
          <w:rFonts w:ascii="Traditional Arabic" w:hAnsi="Traditional Arabic" w:cs="Traditional Arabic"/>
          <w:sz w:val="36"/>
          <w:szCs w:val="36"/>
          <w:rtl/>
        </w:rPr>
      </w:pPr>
    </w:p>
    <w:p w14:paraId="1EC479C4" w14:textId="77777777" w:rsidR="00CE4DEA" w:rsidRDefault="00CE4DEA" w:rsidP="00540437">
      <w:pPr>
        <w:pStyle w:val="Titre3"/>
        <w:bidi/>
        <w:rPr>
          <w:rFonts w:ascii="Traditional Arabic" w:hAnsi="Traditional Arabic" w:cs="Traditional Arabic"/>
          <w:sz w:val="36"/>
          <w:szCs w:val="36"/>
          <w:rtl/>
        </w:rPr>
      </w:pPr>
    </w:p>
    <w:p w14:paraId="72801B4F" w14:textId="77777777" w:rsidR="0011123F" w:rsidRPr="007C492E" w:rsidRDefault="0011123F" w:rsidP="00540437">
      <w:pPr>
        <w:pStyle w:val="Titre3"/>
        <w:bidi/>
        <w:spacing w:before="0" w:beforeAutospacing="0" w:after="0" w:afterAutospacing="0"/>
        <w:rPr>
          <w:rFonts w:ascii="Traditional Arabic" w:hAnsi="Traditional Arabic" w:cs="Traditional Arabic"/>
          <w:sz w:val="36"/>
          <w:szCs w:val="36"/>
        </w:rPr>
      </w:pPr>
      <w:r>
        <w:rPr>
          <w:rFonts w:ascii="Traditional Arabic" w:hAnsi="Traditional Arabic" w:cs="Traditional Arabic"/>
          <w:sz w:val="36"/>
          <w:szCs w:val="36"/>
          <w:rtl/>
        </w:rPr>
        <w:lastRenderedPageBreak/>
        <w:t>المطلب الثالث: نموذج التوريق العقاري لعام 2023</w:t>
      </w:r>
    </w:p>
    <w:p w14:paraId="37A48E00" w14:textId="77777777" w:rsidR="0011123F" w:rsidRPr="007C492E" w:rsidRDefault="0011123F" w:rsidP="00540437">
      <w:pPr>
        <w:pStyle w:val="Sansinterligne"/>
        <w:bidi/>
        <w:rPr>
          <w:rFonts w:ascii="Traditional Arabic" w:hAnsi="Traditional Arabic" w:cs="Traditional Arabic"/>
          <w:b/>
          <w:bCs/>
          <w:sz w:val="32"/>
          <w:szCs w:val="32"/>
        </w:rPr>
      </w:pPr>
      <w:bookmarkStart w:id="29" w:name="X083360abf7b0cb4e05f61f6b65bb44918b15ab0"/>
      <w:r>
        <w:rPr>
          <w:rFonts w:ascii="Traditional Arabic" w:hAnsi="Traditional Arabic" w:cs="Traditional Arabic"/>
          <w:b/>
          <w:bCs/>
          <w:sz w:val="32"/>
          <w:szCs w:val="32"/>
          <w:rtl/>
        </w:rPr>
        <w:t>تفاصيل إصدار الصكوك المدعومة بمحافظ التمويل العقاري</w:t>
      </w:r>
    </w:p>
    <w:p w14:paraId="7531671F" w14:textId="7BD27128" w:rsidR="0011123F" w:rsidRDefault="0011123F" w:rsidP="00242401">
      <w:pPr>
        <w:bidi/>
        <w:spacing w:after="0"/>
        <w:rPr>
          <w:rFonts w:ascii="Traditional Arabic" w:hAnsi="Traditional Arabic" w:cs="Traditional Arabic"/>
          <w:sz w:val="32"/>
          <w:szCs w:val="32"/>
        </w:rPr>
      </w:pPr>
      <w:r>
        <w:rPr>
          <w:rFonts w:ascii="Traditional Arabic" w:hAnsi="Traditional Arabic" w:cs="Traditional Arabic"/>
          <w:sz w:val="32"/>
          <w:szCs w:val="32"/>
          <w:rtl/>
        </w:rPr>
        <w:t>يُمثّل إصدار عام 2023 نموذجاً تطبيقياً نموذجياً لعملية التوريق في البنك، وقد اتّسم بهيكلة متطورة توزّعت فيها الشرائح على درجات متباينة من المخاطر والعائد.</w:t>
      </w:r>
    </w:p>
    <w:p w14:paraId="534C0C2F" w14:textId="433FE5B0" w:rsidR="00242401" w:rsidRPr="0011123F" w:rsidRDefault="00242401" w:rsidP="00242401">
      <w:pPr>
        <w:pStyle w:val="Lgende"/>
        <w:bidi/>
        <w:rPr>
          <w:sz w:val="32"/>
          <w:szCs w:val="32"/>
        </w:rPr>
      </w:pPr>
      <w:bookmarkStart w:id="30" w:name="_Toc231638652"/>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9</w:t>
      </w:r>
      <w:r w:rsidR="009248E3">
        <w:rPr>
          <w:noProof/>
        </w:rPr>
        <w:fldChar w:fldCharType="end"/>
      </w:r>
      <w:r w:rsidRPr="007B6420">
        <w:rPr>
          <w:rtl/>
          <w:lang w:val="fr-FR"/>
        </w:rPr>
        <w:t>هيكلة الشرائح في إصدار صكوك التوريق العقاري للبنك الأهلي السعودي</w:t>
      </w:r>
      <w:r w:rsidRPr="007B6420">
        <w:rPr>
          <w:lang w:val="fr-FR"/>
        </w:rPr>
        <w:t xml:space="preserve"> (2023)</w:t>
      </w:r>
      <w:bookmarkEnd w:id="30"/>
    </w:p>
    <w:tbl>
      <w:tblPr>
        <w:tblStyle w:val="Grilledutableau"/>
        <w:bidiVisual/>
        <w:tblW w:w="5000" w:type="pct"/>
        <w:tblLayout w:type="fixed"/>
        <w:tblLook w:val="0020" w:firstRow="1" w:lastRow="0" w:firstColumn="0" w:lastColumn="0" w:noHBand="0" w:noVBand="0"/>
      </w:tblPr>
      <w:tblGrid>
        <w:gridCol w:w="2138"/>
        <w:gridCol w:w="1170"/>
        <w:gridCol w:w="1080"/>
        <w:gridCol w:w="1689"/>
        <w:gridCol w:w="1437"/>
        <w:gridCol w:w="1548"/>
      </w:tblGrid>
      <w:tr w:rsidR="0011123F" w:rsidRPr="0011123F" w14:paraId="03C4F7C1" w14:textId="77777777" w:rsidTr="009F79D5">
        <w:tc>
          <w:tcPr>
            <w:tcW w:w="2138" w:type="dxa"/>
          </w:tcPr>
          <w:p w14:paraId="034E006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الشريحة</w:t>
            </w:r>
          </w:p>
        </w:tc>
        <w:tc>
          <w:tcPr>
            <w:tcW w:w="1170" w:type="dxa"/>
          </w:tcPr>
          <w:p w14:paraId="627352A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القيمة (مليار ريال)</w:t>
            </w:r>
          </w:p>
        </w:tc>
        <w:tc>
          <w:tcPr>
            <w:tcW w:w="1080" w:type="dxa"/>
          </w:tcPr>
          <w:p w14:paraId="7D36B09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النسبة</w:t>
            </w:r>
          </w:p>
        </w:tc>
        <w:tc>
          <w:tcPr>
            <w:tcW w:w="1689" w:type="dxa"/>
          </w:tcPr>
          <w:p w14:paraId="3620FB6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التصنيف الائتماني</w:t>
            </w:r>
          </w:p>
        </w:tc>
        <w:tc>
          <w:tcPr>
            <w:tcW w:w="1437" w:type="dxa"/>
          </w:tcPr>
          <w:p w14:paraId="2A5A608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معدل العائد</w:t>
            </w:r>
          </w:p>
        </w:tc>
        <w:tc>
          <w:tcPr>
            <w:tcW w:w="1548" w:type="dxa"/>
          </w:tcPr>
          <w:p w14:paraId="68363CB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أولوية السداد</w:t>
            </w:r>
          </w:p>
        </w:tc>
      </w:tr>
      <w:tr w:rsidR="0011123F" w:rsidRPr="0011123F" w14:paraId="3171CF92" w14:textId="77777777" w:rsidTr="009F79D5">
        <w:tc>
          <w:tcPr>
            <w:tcW w:w="2138" w:type="dxa"/>
          </w:tcPr>
          <w:p w14:paraId="3661597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الأولى (</w:t>
            </w:r>
            <w:proofErr w:type="spellStart"/>
            <w:r>
              <w:rPr>
                <w:rFonts w:ascii="Traditional Arabic" w:hAnsi="Traditional Arabic" w:cs="Traditional Arabic"/>
                <w:sz w:val="32"/>
                <w:szCs w:val="32"/>
                <w:rtl/>
              </w:rPr>
              <w:t>Senior</w:t>
            </w:r>
            <w:proofErr w:type="spellEnd"/>
            <w:r>
              <w:rPr>
                <w:rFonts w:ascii="Traditional Arabic" w:hAnsi="Traditional Arabic" w:cs="Traditional Arabic"/>
                <w:sz w:val="32"/>
                <w:szCs w:val="32"/>
                <w:rtl/>
              </w:rPr>
              <w:t>)</w:t>
            </w:r>
          </w:p>
        </w:tc>
        <w:tc>
          <w:tcPr>
            <w:tcW w:w="1170" w:type="dxa"/>
          </w:tcPr>
          <w:p w14:paraId="4FB2067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3.50</w:t>
            </w:r>
          </w:p>
        </w:tc>
        <w:tc>
          <w:tcPr>
            <w:tcW w:w="1080" w:type="dxa"/>
          </w:tcPr>
          <w:p w14:paraId="7BAEF41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70%</w:t>
            </w:r>
          </w:p>
        </w:tc>
        <w:tc>
          <w:tcPr>
            <w:tcW w:w="1689" w:type="dxa"/>
          </w:tcPr>
          <w:p w14:paraId="01D6458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AAA</w:t>
            </w:r>
          </w:p>
        </w:tc>
        <w:tc>
          <w:tcPr>
            <w:tcW w:w="1437" w:type="dxa"/>
          </w:tcPr>
          <w:p w14:paraId="1435668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SOFR + 0.85%</w:t>
            </w:r>
          </w:p>
        </w:tc>
        <w:tc>
          <w:tcPr>
            <w:tcW w:w="1548" w:type="dxa"/>
          </w:tcPr>
          <w:p w14:paraId="5FAAAB1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أولى</w:t>
            </w:r>
          </w:p>
        </w:tc>
      </w:tr>
      <w:tr w:rsidR="0011123F" w:rsidRPr="0011123F" w14:paraId="543C4D17" w14:textId="77777777" w:rsidTr="009F79D5">
        <w:tc>
          <w:tcPr>
            <w:tcW w:w="2138" w:type="dxa"/>
          </w:tcPr>
          <w:p w14:paraId="7634DB7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الثانية (</w:t>
            </w:r>
            <w:proofErr w:type="spellStart"/>
            <w:r>
              <w:rPr>
                <w:rFonts w:ascii="Traditional Arabic" w:hAnsi="Traditional Arabic" w:cs="Traditional Arabic"/>
                <w:sz w:val="32"/>
                <w:szCs w:val="32"/>
                <w:rtl/>
              </w:rPr>
              <w:t>Mezzanine</w:t>
            </w:r>
            <w:proofErr w:type="spellEnd"/>
            <w:r>
              <w:rPr>
                <w:rFonts w:ascii="Traditional Arabic" w:hAnsi="Traditional Arabic" w:cs="Traditional Arabic"/>
                <w:sz w:val="32"/>
                <w:szCs w:val="32"/>
                <w:rtl/>
              </w:rPr>
              <w:t>)</w:t>
            </w:r>
          </w:p>
        </w:tc>
        <w:tc>
          <w:tcPr>
            <w:tcW w:w="1170" w:type="dxa"/>
          </w:tcPr>
          <w:p w14:paraId="64D3823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1.00</w:t>
            </w:r>
          </w:p>
        </w:tc>
        <w:tc>
          <w:tcPr>
            <w:tcW w:w="1080" w:type="dxa"/>
          </w:tcPr>
          <w:p w14:paraId="2137AE6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w:t>
            </w:r>
          </w:p>
        </w:tc>
        <w:tc>
          <w:tcPr>
            <w:tcW w:w="1689" w:type="dxa"/>
          </w:tcPr>
          <w:p w14:paraId="702B971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A+</w:t>
            </w:r>
          </w:p>
        </w:tc>
        <w:tc>
          <w:tcPr>
            <w:tcW w:w="1437" w:type="dxa"/>
          </w:tcPr>
          <w:p w14:paraId="5351159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SOFR + 1.60%</w:t>
            </w:r>
          </w:p>
        </w:tc>
        <w:tc>
          <w:tcPr>
            <w:tcW w:w="1548" w:type="dxa"/>
          </w:tcPr>
          <w:p w14:paraId="68B71F6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ثانية</w:t>
            </w:r>
          </w:p>
        </w:tc>
      </w:tr>
      <w:tr w:rsidR="0011123F" w:rsidRPr="0011123F" w14:paraId="7BDDEEEB" w14:textId="77777777" w:rsidTr="009F79D5">
        <w:tc>
          <w:tcPr>
            <w:tcW w:w="2138" w:type="dxa"/>
          </w:tcPr>
          <w:p w14:paraId="28665EA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الثالثة (</w:t>
            </w:r>
            <w:proofErr w:type="spellStart"/>
            <w:r>
              <w:rPr>
                <w:rFonts w:ascii="Traditional Arabic" w:hAnsi="Traditional Arabic" w:cs="Traditional Arabic"/>
                <w:sz w:val="32"/>
                <w:szCs w:val="32"/>
                <w:rtl/>
              </w:rPr>
              <w:t>Junior</w:t>
            </w:r>
            <w:proofErr w:type="spellEnd"/>
            <w:r>
              <w:rPr>
                <w:rFonts w:ascii="Traditional Arabic" w:hAnsi="Traditional Arabic" w:cs="Traditional Arabic"/>
                <w:sz w:val="32"/>
                <w:szCs w:val="32"/>
                <w:rtl/>
              </w:rPr>
              <w:t>/</w:t>
            </w:r>
            <w:proofErr w:type="spellStart"/>
            <w:r>
              <w:rPr>
                <w:rFonts w:ascii="Traditional Arabic" w:hAnsi="Traditional Arabic" w:cs="Traditional Arabic"/>
                <w:sz w:val="32"/>
                <w:szCs w:val="32"/>
                <w:rtl/>
              </w:rPr>
              <w:t>Equity</w:t>
            </w:r>
            <w:proofErr w:type="spellEnd"/>
            <w:r>
              <w:rPr>
                <w:rFonts w:ascii="Traditional Arabic" w:hAnsi="Traditional Arabic" w:cs="Traditional Arabic"/>
                <w:sz w:val="32"/>
                <w:szCs w:val="32"/>
                <w:rtl/>
              </w:rPr>
              <w:t>)</w:t>
            </w:r>
          </w:p>
        </w:tc>
        <w:tc>
          <w:tcPr>
            <w:tcW w:w="1170" w:type="dxa"/>
          </w:tcPr>
          <w:p w14:paraId="7A4AB4D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0.50</w:t>
            </w:r>
          </w:p>
        </w:tc>
        <w:tc>
          <w:tcPr>
            <w:tcW w:w="1080" w:type="dxa"/>
          </w:tcPr>
          <w:p w14:paraId="1F096DF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10%</w:t>
            </w:r>
          </w:p>
        </w:tc>
        <w:tc>
          <w:tcPr>
            <w:tcW w:w="1689" w:type="dxa"/>
          </w:tcPr>
          <w:p w14:paraId="47CC2A9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BBB</w:t>
            </w:r>
          </w:p>
        </w:tc>
        <w:tc>
          <w:tcPr>
            <w:tcW w:w="1437" w:type="dxa"/>
          </w:tcPr>
          <w:p w14:paraId="7E8AD3D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SOFR + 3.20%</w:t>
            </w:r>
          </w:p>
        </w:tc>
        <w:tc>
          <w:tcPr>
            <w:tcW w:w="1548" w:type="dxa"/>
          </w:tcPr>
          <w:p w14:paraId="2EEE026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ثالثة</w:t>
            </w:r>
          </w:p>
        </w:tc>
      </w:tr>
      <w:tr w:rsidR="0011123F" w:rsidRPr="0011123F" w14:paraId="3F36293A" w14:textId="77777777" w:rsidTr="009F79D5">
        <w:tc>
          <w:tcPr>
            <w:tcW w:w="2138" w:type="dxa"/>
          </w:tcPr>
          <w:p w14:paraId="0C23A99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الإجمالي</w:t>
            </w:r>
          </w:p>
        </w:tc>
        <w:tc>
          <w:tcPr>
            <w:tcW w:w="1170" w:type="dxa"/>
          </w:tcPr>
          <w:p w14:paraId="4F2E591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5.00</w:t>
            </w:r>
          </w:p>
        </w:tc>
        <w:tc>
          <w:tcPr>
            <w:tcW w:w="1080" w:type="dxa"/>
          </w:tcPr>
          <w:p w14:paraId="401C2FD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100%</w:t>
            </w:r>
          </w:p>
        </w:tc>
        <w:tc>
          <w:tcPr>
            <w:tcW w:w="1689" w:type="dxa"/>
          </w:tcPr>
          <w:p w14:paraId="1463B08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w:t>
            </w:r>
          </w:p>
        </w:tc>
        <w:tc>
          <w:tcPr>
            <w:tcW w:w="1437" w:type="dxa"/>
          </w:tcPr>
          <w:p w14:paraId="4F77328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w:t>
            </w:r>
          </w:p>
        </w:tc>
        <w:tc>
          <w:tcPr>
            <w:tcW w:w="1548" w:type="dxa"/>
          </w:tcPr>
          <w:p w14:paraId="2ADB6EC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w:t>
            </w:r>
          </w:p>
        </w:tc>
      </w:tr>
    </w:tbl>
    <w:p w14:paraId="1BD87ADA" w14:textId="77777777" w:rsidR="0011123F" w:rsidRPr="007C492E"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المصدر: نشرة إصدار صكوك البنك الأهلي السعودي، 2023؛ هيئة السوق المالية السعودية.</w:t>
      </w:r>
    </w:p>
    <w:p w14:paraId="5AEDBC6F" w14:textId="77777777" w:rsidR="0011123F" w:rsidRPr="00536794" w:rsidRDefault="00536794" w:rsidP="00540437">
      <w:pPr>
        <w:bidi/>
        <w:spacing w:after="0" w:line="240" w:lineRule="auto"/>
        <w:rPr>
          <w:rFonts w:ascii="Traditional Arabic" w:hAnsi="Traditional Arabic" w:cs="Traditional Arabic"/>
          <w:sz w:val="32"/>
          <w:szCs w:val="32"/>
          <w:rtl/>
        </w:rPr>
      </w:pPr>
      <w:r>
        <w:rPr>
          <w:rFonts w:ascii="Traditional Arabic" w:hAnsi="Traditional Arabic" w:cs="Traditional Arabic"/>
          <w:sz w:val="32"/>
          <w:szCs w:val="32"/>
          <w:rtl/>
        </w:rPr>
        <w:t>يكشف التحليل المالي لهيكلية الإصدار الواردة في الجدول رقم (6) عن تطبيق البنك الأهلي السعودي لآلية 'تقسيم الشرائح</w:t>
      </w:r>
      <w:r>
        <w:rPr>
          <w:rFonts w:ascii="Traditional Arabic" w:hAnsi="Traditional Arabic" w:cs="Traditional Arabic"/>
          <w:sz w:val="32"/>
          <w:szCs w:val="32"/>
        </w:rPr>
        <w:t>' (</w:t>
      </w:r>
      <w:proofErr w:type="spellStart"/>
      <w:r>
        <w:rPr>
          <w:rFonts w:ascii="Traditional Arabic" w:hAnsi="Traditional Arabic" w:cs="Traditional Arabic"/>
          <w:sz w:val="32"/>
          <w:szCs w:val="32"/>
        </w:rPr>
        <w:t>Tranching</w:t>
      </w:r>
      <w:proofErr w:type="spellEnd"/>
      <w:r>
        <w:rPr>
          <w:rFonts w:ascii="Traditional Arabic" w:hAnsi="Traditional Arabic" w:cs="Traditional Arabic"/>
          <w:sz w:val="32"/>
          <w:szCs w:val="32"/>
        </w:rPr>
        <w:t xml:space="preserve">) </w:t>
      </w:r>
      <w:r>
        <w:rPr>
          <w:rFonts w:ascii="Traditional Arabic" w:hAnsi="Traditional Arabic" w:cs="Traditional Arabic"/>
          <w:sz w:val="32"/>
          <w:szCs w:val="32"/>
          <w:rtl/>
        </w:rPr>
        <w:t>كأداة متقدمة للهندسة المالية لتعزيز الائتمان واستهداف فئات متنوعة من المستثمرين في إصدار قيمته الإجمالية 5 مليارات ريال سعودي. وتوضح البيانات وجود علاقة طردية كلاسيكية بين حجم المخاطر ومعدل العائد عبر ثلاث شرائح تمويلية متدرجة؛ حيث استحوذت 'الشريحة الأولى</w:t>
      </w:r>
      <w:r>
        <w:rPr>
          <w:rFonts w:ascii="Traditional Arabic" w:hAnsi="Traditional Arabic" w:cs="Traditional Arabic"/>
          <w:sz w:val="32"/>
          <w:szCs w:val="32"/>
        </w:rPr>
        <w:t xml:space="preserve">' (Senior) </w:t>
      </w:r>
      <w:r>
        <w:rPr>
          <w:rFonts w:ascii="Traditional Arabic" w:hAnsi="Traditional Arabic" w:cs="Traditional Arabic"/>
          <w:sz w:val="32"/>
          <w:szCs w:val="32"/>
          <w:rtl/>
        </w:rPr>
        <w:t>على الحصة الأكبر بنسبة 70% وبقيمة 3.50 مليار ريال، محرزةً أعلى تصنيف ائتماني</w:t>
      </w:r>
      <w:r>
        <w:rPr>
          <w:rFonts w:ascii="Traditional Arabic" w:hAnsi="Traditional Arabic" w:cs="Traditional Arabic"/>
          <w:sz w:val="32"/>
          <w:szCs w:val="32"/>
        </w:rPr>
        <w:t xml:space="preserve"> (AAA) </w:t>
      </w:r>
      <w:r>
        <w:rPr>
          <w:rFonts w:ascii="Traditional Arabic" w:hAnsi="Traditional Arabic" w:cs="Traditional Arabic"/>
          <w:sz w:val="32"/>
          <w:szCs w:val="32"/>
          <w:rtl/>
        </w:rPr>
        <w:t xml:space="preserve">وأولوية سداد أولى، وهو ما سمح للبنك بتسعيرها بأقل معدل عائد هامشي بلغ </w:t>
      </w:r>
      <w:r>
        <w:rPr>
          <w:rFonts w:ascii="Traditional Arabic" w:hAnsi="Traditional Arabic" w:cs="Traditional Arabic"/>
          <w:sz w:val="32"/>
          <w:szCs w:val="32"/>
        </w:rPr>
        <w:t xml:space="preserve">SOFR + 0.85\% </w:t>
      </w:r>
      <w:r>
        <w:rPr>
          <w:rFonts w:ascii="Traditional Arabic" w:hAnsi="Traditional Arabic" w:cs="Traditional Arabic"/>
          <w:sz w:val="32"/>
          <w:szCs w:val="32"/>
          <w:rtl/>
        </w:rPr>
        <w:t>لاستقطاب المستثمرين المتحفظين كصناديق التقاعد والمؤسسات السيادية. وفي المقابل، جاءت 'الشريحة الثانية</w:t>
      </w:r>
      <w:r>
        <w:rPr>
          <w:rFonts w:ascii="Traditional Arabic" w:hAnsi="Traditional Arabic" w:cs="Traditional Arabic"/>
          <w:sz w:val="32"/>
          <w:szCs w:val="32"/>
        </w:rPr>
        <w:t xml:space="preserve">' (Mezzanine) </w:t>
      </w:r>
      <w:r>
        <w:rPr>
          <w:rFonts w:ascii="Traditional Arabic" w:hAnsi="Traditional Arabic" w:cs="Traditional Arabic"/>
          <w:sz w:val="32"/>
          <w:szCs w:val="32"/>
          <w:rtl/>
        </w:rPr>
        <w:t>في مرتبة وسيطة بنسبة 20% وبقيمة 1.00 مليار ريال، بتصنيف ائتماني</w:t>
      </w:r>
      <w:r>
        <w:rPr>
          <w:rFonts w:ascii="Traditional Arabic" w:hAnsi="Traditional Arabic" w:cs="Traditional Arabic"/>
          <w:sz w:val="32"/>
          <w:szCs w:val="32"/>
        </w:rPr>
        <w:t xml:space="preserve"> (+A) </w:t>
      </w:r>
      <w:r>
        <w:rPr>
          <w:rFonts w:ascii="Traditional Arabic" w:hAnsi="Traditional Arabic" w:cs="Traditional Arabic"/>
          <w:sz w:val="32"/>
          <w:szCs w:val="32"/>
          <w:rtl/>
        </w:rPr>
        <w:t xml:space="preserve">وأولوية سداد ثانية، ومعدل عائد متوسط بلغ </w:t>
      </w:r>
      <w:r>
        <w:rPr>
          <w:rFonts w:ascii="Traditional Arabic" w:hAnsi="Traditional Arabic" w:cs="Traditional Arabic"/>
          <w:sz w:val="32"/>
          <w:szCs w:val="32"/>
        </w:rPr>
        <w:t xml:space="preserve">SOFR + 1.60\%. </w:t>
      </w:r>
      <w:r>
        <w:rPr>
          <w:rFonts w:ascii="Traditional Arabic" w:hAnsi="Traditional Arabic" w:cs="Traditional Arabic"/>
          <w:sz w:val="32"/>
          <w:szCs w:val="32"/>
          <w:rtl/>
        </w:rPr>
        <w:t>بينما تم تخصيص 'الشريحة الثالثة</w:t>
      </w:r>
      <w:r>
        <w:rPr>
          <w:rFonts w:ascii="Traditional Arabic" w:hAnsi="Traditional Arabic" w:cs="Traditional Arabic"/>
          <w:sz w:val="32"/>
          <w:szCs w:val="32"/>
        </w:rPr>
        <w:t xml:space="preserve">' (Junior/Equity) </w:t>
      </w:r>
      <w:r>
        <w:rPr>
          <w:rFonts w:ascii="Traditional Arabic" w:hAnsi="Traditional Arabic" w:cs="Traditional Arabic"/>
          <w:sz w:val="32"/>
          <w:szCs w:val="32"/>
          <w:rtl/>
        </w:rPr>
        <w:t>كشريحة قاعدية أو شريحة امتصاص الصدمات الأولى بنسبة 10% وبقيمة 0.50 مليار ريال، وحصلت على أدنى تصنيف ائتماني استثماري</w:t>
      </w:r>
      <w:r>
        <w:rPr>
          <w:rFonts w:ascii="Traditional Arabic" w:hAnsi="Traditional Arabic" w:cs="Traditional Arabic"/>
          <w:sz w:val="32"/>
          <w:szCs w:val="32"/>
        </w:rPr>
        <w:t xml:space="preserve"> (BBB) </w:t>
      </w:r>
      <w:r>
        <w:rPr>
          <w:rFonts w:ascii="Traditional Arabic" w:hAnsi="Traditional Arabic" w:cs="Traditional Arabic"/>
          <w:sz w:val="32"/>
          <w:szCs w:val="32"/>
          <w:rtl/>
        </w:rPr>
        <w:t xml:space="preserve">وأولوية سداد ثالثة، مما تطلب منحها أعلى معدل عائد هامشي قدره </w:t>
      </w:r>
      <w:r>
        <w:rPr>
          <w:rFonts w:ascii="Traditional Arabic" w:hAnsi="Traditional Arabic" w:cs="Traditional Arabic"/>
          <w:sz w:val="32"/>
          <w:szCs w:val="32"/>
        </w:rPr>
        <w:t xml:space="preserve">SOFR + 3.20\% </w:t>
      </w:r>
      <w:r>
        <w:rPr>
          <w:rFonts w:ascii="Traditional Arabic" w:hAnsi="Traditional Arabic" w:cs="Traditional Arabic"/>
          <w:sz w:val="32"/>
          <w:szCs w:val="32"/>
          <w:rtl/>
        </w:rPr>
        <w:t xml:space="preserve">لتعويض المستثمرين (غالباً البنك المنشئ نفسه) عن تحمل مخاطر </w:t>
      </w:r>
      <w:r>
        <w:rPr>
          <w:rFonts w:ascii="Traditional Arabic" w:hAnsi="Traditional Arabic" w:cs="Traditional Arabic"/>
          <w:sz w:val="32"/>
          <w:szCs w:val="32"/>
          <w:rtl/>
        </w:rPr>
        <w:lastRenderedPageBreak/>
        <w:t>التخلف السير المبدئي عن السداد. وبناءً على هذه الهيكلية، نستنتج أن البنك نجح من خلال استخدام مؤشر التمويل المضمون لليلة واحدة</w:t>
      </w:r>
      <w:r>
        <w:rPr>
          <w:rFonts w:ascii="Traditional Arabic" w:hAnsi="Traditional Arabic" w:cs="Traditional Arabic"/>
          <w:sz w:val="32"/>
          <w:szCs w:val="32"/>
        </w:rPr>
        <w:t xml:space="preserve"> (SOFR) </w:t>
      </w:r>
      <w:r>
        <w:rPr>
          <w:rFonts w:ascii="Traditional Arabic" w:hAnsi="Traditional Arabic" w:cs="Traditional Arabic"/>
          <w:sz w:val="32"/>
          <w:szCs w:val="32"/>
          <w:rtl/>
        </w:rPr>
        <w:t>كمعيار تسعير مرجعي متطور، في توفير حماية ائتمانية هيكلية داخلية للشرائح العليا على حساب الشرائح الدنيا، مما يضمن خفض التكلفة الإجمالية للتمويل مع تحصين جاذبية الأوراق المالية المصدرة في الأسواق الدولية والمحلية</w:t>
      </w:r>
      <w:r>
        <w:rPr>
          <w:rFonts w:ascii="Traditional Arabic" w:hAnsi="Traditional Arabic" w:cs="Traditional Arabic"/>
          <w:sz w:val="32"/>
          <w:szCs w:val="32"/>
        </w:rPr>
        <w:t>.</w:t>
      </w:r>
    </w:p>
    <w:p w14:paraId="6D62D3D9" w14:textId="075B7E31" w:rsidR="0011123F" w:rsidRPr="0011123F" w:rsidRDefault="00242401" w:rsidP="00242401">
      <w:pPr>
        <w:pStyle w:val="Lgende"/>
        <w:bidi/>
        <w:rPr>
          <w:sz w:val="32"/>
          <w:szCs w:val="32"/>
        </w:rPr>
      </w:pPr>
      <w:bookmarkStart w:id="31" w:name="_Toc231638591"/>
      <w:r>
        <w:rPr>
          <w:rtl/>
        </w:rPr>
        <w:t xml:space="preserve">الشكل رقم </w:t>
      </w:r>
      <w:r w:rsidR="009248E3">
        <w:fldChar w:fldCharType="begin"/>
      </w:r>
      <w:r w:rsidR="009248E3">
        <w:instrText xml:space="preserve"> SEQ </w:instrText>
      </w:r>
      <w:r w:rsidR="009248E3">
        <w:rPr>
          <w:rtl/>
        </w:rPr>
        <w:instrText>الشكل_رقم</w:instrText>
      </w:r>
      <w:r w:rsidR="009248E3">
        <w:instrText xml:space="preserve"> \* ARABIC </w:instrText>
      </w:r>
      <w:r w:rsidR="009248E3">
        <w:fldChar w:fldCharType="separate"/>
      </w:r>
      <w:r w:rsidR="00317D7C">
        <w:rPr>
          <w:noProof/>
        </w:rPr>
        <w:t>4</w:t>
      </w:r>
      <w:r w:rsidR="009248E3">
        <w:rPr>
          <w:noProof/>
        </w:rPr>
        <w:fldChar w:fldCharType="end"/>
      </w:r>
      <w:r>
        <w:rPr>
          <w:noProof/>
          <w:lang w:val="fr-FR"/>
        </w:rPr>
        <w:t xml:space="preserve"> </w:t>
      </w:r>
      <w:r w:rsidRPr="005A72A8">
        <w:rPr>
          <w:noProof/>
          <w:rtl/>
          <w:lang w:val="fr-FR"/>
        </w:rPr>
        <w:t>التوزيع النسبي لشرائح التوريق – إصدار 2023</w:t>
      </w:r>
      <w:bookmarkEnd w:id="31"/>
    </w:p>
    <w:p w14:paraId="036630C2" w14:textId="77777777" w:rsidR="0011123F" w:rsidRPr="0011123F" w:rsidRDefault="0011123F" w:rsidP="00540437">
      <w:pPr>
        <w:pStyle w:val="SourceCode"/>
        <w:bidi/>
        <w:spacing w:after="0"/>
      </w:pPr>
      <w:r>
        <w:rPr>
          <w:rtl/>
        </w:rPr>
        <w:t>هيكل الشرائح (المبالغ بالمليار ريال):</w:t>
      </w:r>
      <w:r>
        <w:br/>
      </w:r>
      <w:r>
        <w:rPr>
          <w:noProof/>
          <w:lang w:val="en-US"/>
        </w:rPr>
        <w:drawing>
          <wp:inline distT="0" distB="0" distL="0" distR="0" wp14:anchorId="688808C1" wp14:editId="45C4BE36">
            <wp:extent cx="3600000" cy="1965234"/>
            <wp:effectExtent l="0" t="0" r="63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00000" cy="1965234"/>
                    </a:xfrm>
                    <a:prstGeom prst="rect">
                      <a:avLst/>
                    </a:prstGeom>
                    <a:noFill/>
                  </pic:spPr>
                </pic:pic>
              </a:graphicData>
            </a:graphic>
          </wp:inline>
        </w:drawing>
      </w:r>
    </w:p>
    <w:p w14:paraId="02693EF3" w14:textId="77777777" w:rsidR="0011123F" w:rsidRDefault="0011123F" w:rsidP="00540437">
      <w:pPr>
        <w:bidi/>
        <w:spacing w:after="0" w:line="240" w:lineRule="auto"/>
        <w:rPr>
          <w:rFonts w:ascii="Traditional Arabic" w:hAnsi="Traditional Arabic" w:cs="Traditional Arabic"/>
          <w:b/>
          <w:bCs/>
          <w:sz w:val="28"/>
          <w:szCs w:val="28"/>
          <w:rtl/>
        </w:rPr>
      </w:pPr>
      <w:r>
        <w:rPr>
          <w:rFonts w:ascii="Traditional Arabic" w:hAnsi="Traditional Arabic" w:cs="Traditional Arabic"/>
          <w:b/>
          <w:bCs/>
          <w:sz w:val="28"/>
          <w:szCs w:val="28"/>
          <w:rtl/>
        </w:rPr>
        <w:t>المصدر: من إعداد الطالب بناءً على نشرة الإصدار، 2023.</w:t>
      </w:r>
    </w:p>
    <w:p w14:paraId="1AA093CC" w14:textId="77777777" w:rsidR="00EC593C" w:rsidRDefault="00EC593C" w:rsidP="00540437">
      <w:pPr>
        <w:bidi/>
        <w:spacing w:after="0" w:line="240" w:lineRule="auto"/>
        <w:rPr>
          <w:rFonts w:ascii="Traditional Arabic" w:hAnsi="Traditional Arabic" w:cs="Traditional Arabic"/>
          <w:sz w:val="32"/>
          <w:szCs w:val="32"/>
          <w:rtl/>
        </w:rPr>
      </w:pPr>
      <w:r>
        <w:rPr>
          <w:rFonts w:ascii="Traditional Arabic" w:hAnsi="Traditional Arabic" w:cs="Traditional Arabic"/>
          <w:sz w:val="32"/>
          <w:szCs w:val="32"/>
          <w:rtl/>
        </w:rPr>
        <w:t xml:space="preserve">يُقدّم الشكل البياني رقم (4) قراءة مرئية واضحة للأوزان الهيكلية والأحجام المالية المطلقة المكونة لإصدار صكوك التوريق العقاري لعام 2023، مبرزاً التوزيع النسبي المتدرج للشرائح كآلية لتقسيم المخاطر وتلبية تفضيلات المستثمرين المختلفة. وتكشف المعطيات الإحصائية الممثلة في الرسم البياني عن الاستحواذ </w:t>
      </w:r>
      <w:proofErr w:type="spellStart"/>
      <w:r>
        <w:rPr>
          <w:rFonts w:ascii="Traditional Arabic" w:hAnsi="Traditional Arabic" w:cs="Traditional Arabic"/>
          <w:sz w:val="32"/>
          <w:szCs w:val="32"/>
          <w:rtl/>
        </w:rPr>
        <w:t>الهيمني</w:t>
      </w:r>
      <w:proofErr w:type="spellEnd"/>
      <w:r>
        <w:rPr>
          <w:rFonts w:ascii="Traditional Arabic" w:hAnsi="Traditional Arabic" w:cs="Traditional Arabic"/>
          <w:sz w:val="32"/>
          <w:szCs w:val="32"/>
          <w:rtl/>
        </w:rPr>
        <w:t xml:space="preserve"> لـ 'الشريحة الأولى</w:t>
      </w:r>
      <w:r>
        <w:rPr>
          <w:rFonts w:ascii="Traditional Arabic" w:hAnsi="Traditional Arabic" w:cs="Traditional Arabic"/>
          <w:sz w:val="32"/>
          <w:szCs w:val="32"/>
        </w:rPr>
        <w:t xml:space="preserve"> (Senior)' </w:t>
      </w:r>
      <w:r>
        <w:rPr>
          <w:rFonts w:ascii="Traditional Arabic" w:hAnsi="Traditional Arabic" w:cs="Traditional Arabic"/>
          <w:sz w:val="32"/>
          <w:szCs w:val="32"/>
          <w:rtl/>
        </w:rPr>
        <w:t>ذات الجودة الائتمانية الفائقة</w:t>
      </w:r>
      <w:r>
        <w:rPr>
          <w:rFonts w:ascii="Traditional Arabic" w:hAnsi="Traditional Arabic" w:cs="Traditional Arabic"/>
          <w:sz w:val="32"/>
          <w:szCs w:val="32"/>
        </w:rPr>
        <w:t xml:space="preserve"> (AAA) </w:t>
      </w:r>
      <w:r>
        <w:rPr>
          <w:rFonts w:ascii="Traditional Arabic" w:hAnsi="Traditional Arabic" w:cs="Traditional Arabic"/>
          <w:sz w:val="32"/>
          <w:szCs w:val="32"/>
          <w:rtl/>
        </w:rPr>
        <w:t>بنسبة بلغت 70% وبحجم مالي مطلق ناهز 3.50 مليار ريال سعودي؛ مما يعكس اعتماد البنك على هذه الشريحة الآمنة والمستقرة كركيزة أساسية لجذب السيولة الكبرى من المؤسسات المالية الكبيرة وصناديق الاستثمار المتحفظة. وفي المقابل، يظهر الرسم تدرجاً تنازلياً في الأحجام بالتوازي مع ارتفاع المخاطر؛ حيث شكلت 'الشريحة الثانية</w:t>
      </w:r>
      <w:r>
        <w:rPr>
          <w:rFonts w:ascii="Traditional Arabic" w:hAnsi="Traditional Arabic" w:cs="Traditional Arabic"/>
          <w:sz w:val="32"/>
          <w:szCs w:val="32"/>
        </w:rPr>
        <w:t xml:space="preserve"> (Mezzanine)' </w:t>
      </w:r>
      <w:r>
        <w:rPr>
          <w:rFonts w:ascii="Traditional Arabic" w:hAnsi="Traditional Arabic" w:cs="Traditional Arabic"/>
          <w:sz w:val="32"/>
          <w:szCs w:val="32"/>
          <w:rtl/>
        </w:rPr>
        <w:t>ذات التصنيف</w:t>
      </w:r>
      <w:r>
        <w:rPr>
          <w:rFonts w:ascii="Traditional Arabic" w:hAnsi="Traditional Arabic" w:cs="Traditional Arabic"/>
          <w:sz w:val="32"/>
          <w:szCs w:val="32"/>
        </w:rPr>
        <w:t xml:space="preserve"> (+A) </w:t>
      </w:r>
      <w:r>
        <w:rPr>
          <w:rFonts w:ascii="Traditional Arabic" w:hAnsi="Traditional Arabic" w:cs="Traditional Arabic"/>
          <w:sz w:val="32"/>
          <w:szCs w:val="32"/>
          <w:rtl/>
        </w:rPr>
        <w:t>نسبة 20% وبقيمة بلغت 1.00 مليار ريال لتمثل الجسر الوسيط في هيكل الإصدار، بينما انحسرت 'الشريحة الثالثة</w:t>
      </w:r>
      <w:r>
        <w:rPr>
          <w:rFonts w:ascii="Traditional Arabic" w:hAnsi="Traditional Arabic" w:cs="Traditional Arabic"/>
          <w:sz w:val="32"/>
          <w:szCs w:val="32"/>
        </w:rPr>
        <w:t xml:space="preserve"> (Junior/Equity)' </w:t>
      </w:r>
      <w:r>
        <w:rPr>
          <w:rFonts w:ascii="Traditional Arabic" w:hAnsi="Traditional Arabic" w:cs="Traditional Arabic"/>
          <w:sz w:val="32"/>
          <w:szCs w:val="32"/>
          <w:rtl/>
        </w:rPr>
        <w:t>ذات التصنيف</w:t>
      </w:r>
      <w:r>
        <w:rPr>
          <w:rFonts w:ascii="Traditional Arabic" w:hAnsi="Traditional Arabic" w:cs="Traditional Arabic"/>
          <w:sz w:val="32"/>
          <w:szCs w:val="32"/>
        </w:rPr>
        <w:t xml:space="preserve"> (BBB) </w:t>
      </w:r>
      <w:r>
        <w:rPr>
          <w:rFonts w:ascii="Traditional Arabic" w:hAnsi="Traditional Arabic" w:cs="Traditional Arabic"/>
          <w:sz w:val="32"/>
          <w:szCs w:val="32"/>
          <w:rtl/>
        </w:rPr>
        <w:t>في النطاق الأدنى بنسبة 10% وبقيمة 0.50 مليار ريال سعودي لتعمل كقاعدة لامتصاص الخسائر الأولى. وبناءً على هذه المعطيات البيانية، نستنتج أن التصميم الهيكلي للإصدار قد اتسم بالاتزان المالي؛ إذ نجح البنك في جعل الجزء الأكبر من التمويل موجهاً للشرائح ذات التصنيف الممتاز، مما يضمن خفض التكلفة الإجمالية للإصدار ورفع مستويات الثقة في الأوراق المالية المطروحة</w:t>
      </w:r>
      <w:r>
        <w:rPr>
          <w:rFonts w:ascii="Traditional Arabic" w:hAnsi="Traditional Arabic" w:cs="Traditional Arabic"/>
          <w:sz w:val="32"/>
          <w:szCs w:val="32"/>
        </w:rPr>
        <w:t>.</w:t>
      </w:r>
    </w:p>
    <w:p w14:paraId="1D52B056" w14:textId="77777777" w:rsidR="00540437" w:rsidRDefault="00540437" w:rsidP="00540437">
      <w:pPr>
        <w:bidi/>
        <w:spacing w:after="0" w:line="240" w:lineRule="auto"/>
        <w:rPr>
          <w:rFonts w:ascii="Traditional Arabic" w:hAnsi="Traditional Arabic" w:cs="Traditional Arabic"/>
          <w:sz w:val="32"/>
          <w:szCs w:val="32"/>
          <w:rtl/>
        </w:rPr>
      </w:pPr>
    </w:p>
    <w:p w14:paraId="084398B4" w14:textId="77777777" w:rsidR="00540437" w:rsidRDefault="00540437" w:rsidP="00540437">
      <w:pPr>
        <w:bidi/>
        <w:spacing w:after="0" w:line="240" w:lineRule="auto"/>
        <w:rPr>
          <w:rFonts w:ascii="Traditional Arabic" w:hAnsi="Traditional Arabic" w:cs="Traditional Arabic"/>
          <w:sz w:val="32"/>
          <w:szCs w:val="32"/>
          <w:rtl/>
        </w:rPr>
      </w:pPr>
    </w:p>
    <w:p w14:paraId="2445F37B" w14:textId="77777777" w:rsidR="00540437" w:rsidRDefault="00540437" w:rsidP="00540437">
      <w:pPr>
        <w:bidi/>
        <w:spacing w:after="0" w:line="240" w:lineRule="auto"/>
        <w:rPr>
          <w:rFonts w:ascii="Traditional Arabic" w:hAnsi="Traditional Arabic" w:cs="Traditional Arabic"/>
          <w:sz w:val="32"/>
          <w:szCs w:val="32"/>
          <w:rtl/>
        </w:rPr>
      </w:pPr>
    </w:p>
    <w:p w14:paraId="2A9A711A" w14:textId="54F89BD0" w:rsidR="0011123F" w:rsidRPr="0011123F" w:rsidRDefault="00242401" w:rsidP="00242401">
      <w:pPr>
        <w:pStyle w:val="Lgende"/>
        <w:bidi/>
        <w:rPr>
          <w:sz w:val="32"/>
          <w:szCs w:val="32"/>
        </w:rPr>
      </w:pPr>
      <w:bookmarkStart w:id="32" w:name="_Toc231638653"/>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10</w:t>
      </w:r>
      <w:r w:rsidR="009248E3">
        <w:rPr>
          <w:noProof/>
        </w:rPr>
        <w:fldChar w:fldCharType="end"/>
      </w:r>
      <w:r>
        <w:rPr>
          <w:noProof/>
          <w:lang w:val="fr-FR"/>
        </w:rPr>
        <w:t xml:space="preserve"> </w:t>
      </w:r>
      <w:r w:rsidRPr="00BB4B78">
        <w:rPr>
          <w:noProof/>
          <w:rtl/>
          <w:lang w:val="fr-FR"/>
        </w:rPr>
        <w:t>المقارنة بين تكلفة التوريق وتكلفة الاقتراض التقليدي</w:t>
      </w:r>
      <w:bookmarkEnd w:id="32"/>
    </w:p>
    <w:tbl>
      <w:tblPr>
        <w:tblStyle w:val="Grilledutableau"/>
        <w:bidiVisual/>
        <w:tblW w:w="5000" w:type="pct"/>
        <w:tblLayout w:type="fixed"/>
        <w:tblLook w:val="0020" w:firstRow="1" w:lastRow="0" w:firstColumn="0" w:lastColumn="0" w:noHBand="0" w:noVBand="0"/>
      </w:tblPr>
      <w:tblGrid>
        <w:gridCol w:w="2561"/>
        <w:gridCol w:w="1576"/>
        <w:gridCol w:w="3546"/>
        <w:gridCol w:w="1379"/>
      </w:tblGrid>
      <w:tr w:rsidR="0011123F" w:rsidRPr="0011123F" w14:paraId="14319858" w14:textId="77777777" w:rsidTr="0011123F">
        <w:tc>
          <w:tcPr>
            <w:tcW w:w="2238" w:type="dxa"/>
          </w:tcPr>
          <w:p w14:paraId="01F1CDD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بند المقارنة</w:t>
            </w:r>
          </w:p>
        </w:tc>
        <w:tc>
          <w:tcPr>
            <w:tcW w:w="1377" w:type="dxa"/>
          </w:tcPr>
          <w:p w14:paraId="34733B7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التوريق</w:t>
            </w:r>
          </w:p>
        </w:tc>
        <w:tc>
          <w:tcPr>
            <w:tcW w:w="3099" w:type="dxa"/>
          </w:tcPr>
          <w:p w14:paraId="43BD86E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الاقتراض التقليدي</w:t>
            </w:r>
          </w:p>
        </w:tc>
        <w:tc>
          <w:tcPr>
            <w:tcW w:w="1205" w:type="dxa"/>
          </w:tcPr>
          <w:p w14:paraId="58ECEC4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الفرق</w:t>
            </w:r>
          </w:p>
        </w:tc>
      </w:tr>
      <w:tr w:rsidR="0011123F" w:rsidRPr="0011123F" w14:paraId="7C47A1B8" w14:textId="77777777" w:rsidTr="0011123F">
        <w:tc>
          <w:tcPr>
            <w:tcW w:w="2238" w:type="dxa"/>
          </w:tcPr>
          <w:p w14:paraId="4DAE2A0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تكلفة التمويل الإجمالية</w:t>
            </w:r>
          </w:p>
        </w:tc>
        <w:tc>
          <w:tcPr>
            <w:tcW w:w="1377" w:type="dxa"/>
          </w:tcPr>
          <w:p w14:paraId="2D903CD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SOFR + 1.2% (متوسط مرجّح)</w:t>
            </w:r>
          </w:p>
        </w:tc>
        <w:tc>
          <w:tcPr>
            <w:tcW w:w="3099" w:type="dxa"/>
          </w:tcPr>
          <w:p w14:paraId="117BEC1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SOFR + 2.1%</w:t>
            </w:r>
          </w:p>
        </w:tc>
        <w:tc>
          <w:tcPr>
            <w:tcW w:w="1205" w:type="dxa"/>
          </w:tcPr>
          <w:p w14:paraId="5A1BEC5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توفير 0.9%</w:t>
            </w:r>
          </w:p>
        </w:tc>
      </w:tr>
      <w:tr w:rsidR="0011123F" w:rsidRPr="0011123F" w14:paraId="758C7C3F" w14:textId="77777777" w:rsidTr="0011123F">
        <w:tc>
          <w:tcPr>
            <w:tcW w:w="2238" w:type="dxa"/>
          </w:tcPr>
          <w:p w14:paraId="63140C4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حجم السيولة المتاحة</w:t>
            </w:r>
          </w:p>
        </w:tc>
        <w:tc>
          <w:tcPr>
            <w:tcW w:w="1377" w:type="dxa"/>
          </w:tcPr>
          <w:p w14:paraId="1328B49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5.0 مليار ريال</w:t>
            </w:r>
          </w:p>
        </w:tc>
        <w:tc>
          <w:tcPr>
            <w:tcW w:w="3099" w:type="dxa"/>
          </w:tcPr>
          <w:p w14:paraId="1BA433A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3.5 مليار ريال (سقف ائتماني)</w:t>
            </w:r>
          </w:p>
        </w:tc>
        <w:tc>
          <w:tcPr>
            <w:tcW w:w="1205" w:type="dxa"/>
          </w:tcPr>
          <w:p w14:paraId="055DAB9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زيادة 43%</w:t>
            </w:r>
          </w:p>
        </w:tc>
      </w:tr>
      <w:tr w:rsidR="0011123F" w:rsidRPr="0011123F" w14:paraId="78B090D6" w14:textId="77777777" w:rsidTr="0011123F">
        <w:tc>
          <w:tcPr>
            <w:tcW w:w="2238" w:type="dxa"/>
          </w:tcPr>
          <w:p w14:paraId="2987662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أثر على نسبة CAR</w:t>
            </w:r>
          </w:p>
        </w:tc>
        <w:tc>
          <w:tcPr>
            <w:tcW w:w="1377" w:type="dxa"/>
          </w:tcPr>
          <w:p w14:paraId="4A6714A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رفع بمقدار 1.8 نقطة مئوية</w:t>
            </w:r>
          </w:p>
        </w:tc>
        <w:tc>
          <w:tcPr>
            <w:tcW w:w="3099" w:type="dxa"/>
          </w:tcPr>
          <w:p w14:paraId="6F910C4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لا تأثير</w:t>
            </w:r>
          </w:p>
        </w:tc>
        <w:tc>
          <w:tcPr>
            <w:tcW w:w="1205" w:type="dxa"/>
          </w:tcPr>
          <w:p w14:paraId="2A9030E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تحسين ملموس</w:t>
            </w:r>
          </w:p>
        </w:tc>
      </w:tr>
      <w:tr w:rsidR="0011123F" w:rsidRPr="0011123F" w14:paraId="426A708A" w14:textId="77777777" w:rsidTr="0011123F">
        <w:tc>
          <w:tcPr>
            <w:tcW w:w="2238" w:type="dxa"/>
          </w:tcPr>
          <w:p w14:paraId="28B1652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مدة الحصول على التمويل</w:t>
            </w:r>
          </w:p>
        </w:tc>
        <w:tc>
          <w:tcPr>
            <w:tcW w:w="1377" w:type="dxa"/>
          </w:tcPr>
          <w:p w14:paraId="3882ED2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3–6 أشهر</w:t>
            </w:r>
          </w:p>
        </w:tc>
        <w:tc>
          <w:tcPr>
            <w:tcW w:w="3099" w:type="dxa"/>
          </w:tcPr>
          <w:p w14:paraId="11D1A6E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2–4 أسابيع</w:t>
            </w:r>
          </w:p>
        </w:tc>
        <w:tc>
          <w:tcPr>
            <w:tcW w:w="1205" w:type="dxa"/>
          </w:tcPr>
          <w:p w14:paraId="32FD81D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أطول نسبياً</w:t>
            </w:r>
          </w:p>
        </w:tc>
      </w:tr>
      <w:tr w:rsidR="0011123F" w:rsidRPr="0011123F" w14:paraId="226DFBE1" w14:textId="77777777" w:rsidTr="0011123F">
        <w:tc>
          <w:tcPr>
            <w:tcW w:w="2238" w:type="dxa"/>
          </w:tcPr>
          <w:p w14:paraId="086C45C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تنويع قاعدة المستثمرين</w:t>
            </w:r>
          </w:p>
        </w:tc>
        <w:tc>
          <w:tcPr>
            <w:tcW w:w="1377" w:type="dxa"/>
          </w:tcPr>
          <w:p w14:paraId="3CBD055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واسعة (محلية ودولية)</w:t>
            </w:r>
          </w:p>
        </w:tc>
        <w:tc>
          <w:tcPr>
            <w:tcW w:w="3099" w:type="dxa"/>
          </w:tcPr>
          <w:p w14:paraId="3A82704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محدودة</w:t>
            </w:r>
          </w:p>
        </w:tc>
        <w:tc>
          <w:tcPr>
            <w:tcW w:w="1205" w:type="dxa"/>
          </w:tcPr>
          <w:p w14:paraId="391980C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ميزة التوريق</w:t>
            </w:r>
          </w:p>
        </w:tc>
      </w:tr>
    </w:tbl>
    <w:p w14:paraId="7064B94E" w14:textId="77777777" w:rsidR="0011123F" w:rsidRPr="007C492E"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 xml:space="preserve">المصدر: وحدة إدارة المخاطر بالبنك الأهلي السعودي؛ </w:t>
      </w:r>
      <w:proofErr w:type="spellStart"/>
      <w:r>
        <w:rPr>
          <w:rFonts w:ascii="Traditional Arabic" w:hAnsi="Traditional Arabic" w:cs="Traditional Arabic"/>
          <w:b/>
          <w:bCs/>
          <w:sz w:val="28"/>
          <w:szCs w:val="28"/>
          <w:rtl/>
        </w:rPr>
        <w:t>الجلنابي</w:t>
      </w:r>
      <w:proofErr w:type="spellEnd"/>
      <w:r>
        <w:rPr>
          <w:rFonts w:ascii="Traditional Arabic" w:hAnsi="Traditional Arabic" w:cs="Traditional Arabic"/>
          <w:b/>
          <w:bCs/>
          <w:sz w:val="28"/>
          <w:szCs w:val="28"/>
          <w:rtl/>
        </w:rPr>
        <w:t>، 2021.</w:t>
      </w:r>
    </w:p>
    <w:p w14:paraId="6325EBFB" w14:textId="77777777" w:rsidR="00536794" w:rsidRDefault="00536794" w:rsidP="00540437">
      <w:pPr>
        <w:pStyle w:val="Titre2"/>
        <w:bidi/>
        <w:spacing w:before="0" w:beforeAutospacing="0" w:after="0" w:afterAutospacing="0"/>
        <w:rPr>
          <w:rFonts w:ascii="Traditional Arabic" w:hAnsi="Traditional Arabic" w:cs="Traditional Arabic"/>
          <w:b w:val="0"/>
          <w:bCs w:val="0"/>
          <w:sz w:val="32"/>
          <w:szCs w:val="32"/>
          <w:rtl/>
        </w:rPr>
      </w:pPr>
      <w:bookmarkStart w:id="33" w:name="Xcdb80340c888e41ea38f472318e0ed69d6c3031"/>
      <w:bookmarkEnd w:id="19"/>
      <w:bookmarkEnd w:id="28"/>
      <w:bookmarkEnd w:id="29"/>
      <w:r>
        <w:rPr>
          <w:rFonts w:ascii="Traditional Arabic" w:hAnsi="Traditional Arabic" w:cs="Traditional Arabic"/>
          <w:b w:val="0"/>
          <w:bCs w:val="0"/>
          <w:sz w:val="32"/>
          <w:szCs w:val="32"/>
          <w:rtl/>
        </w:rPr>
        <w:t>يُقدّم الجدول رقم (7) دراسة تقييمية مقارنة ذات دلالة جوهرية بين آلية 'التوريق المالي' وأسلوب 'الاقتراض التقليدي' كخيارات استراتيجية لتمويل البنك الأهلي السعودي، مبرزاً الأثر الاقتصادي والتنظيمي المتفوق لهندسة التوريق. فمن منظور تكلفة التمويل الإجمالية، نجح التوريق في خفض التكلفة محققاً وفراً مالياً بنسبة 0.9%؛ حيث بلغ متوسطها المرجح</w:t>
      </w:r>
      <w:r>
        <w:rPr>
          <w:rFonts w:ascii="Traditional Arabic" w:hAnsi="Traditional Arabic" w:cs="Traditional Arabic"/>
          <w:b w:val="0"/>
          <w:bCs w:val="0"/>
          <w:sz w:val="32"/>
          <w:szCs w:val="32"/>
        </w:rPr>
        <w:t xml:space="preserve"> (SOFR + 1.2\%) </w:t>
      </w:r>
      <w:r>
        <w:rPr>
          <w:rFonts w:ascii="Traditional Arabic" w:hAnsi="Traditional Arabic" w:cs="Traditional Arabic"/>
          <w:b w:val="0"/>
          <w:bCs w:val="0"/>
          <w:sz w:val="32"/>
          <w:szCs w:val="32"/>
          <w:rtl/>
        </w:rPr>
        <w:t>مقارنة بـ</w:t>
      </w:r>
      <w:r>
        <w:rPr>
          <w:rFonts w:ascii="Traditional Arabic" w:hAnsi="Traditional Arabic" w:cs="Traditional Arabic"/>
          <w:b w:val="0"/>
          <w:bCs w:val="0"/>
          <w:sz w:val="32"/>
          <w:szCs w:val="32"/>
        </w:rPr>
        <w:t xml:space="preserve"> (SOFR + 2.1\%) </w:t>
      </w:r>
      <w:r>
        <w:rPr>
          <w:rFonts w:ascii="Traditional Arabic" w:hAnsi="Traditional Arabic" w:cs="Traditional Arabic"/>
          <w:b w:val="0"/>
          <w:bCs w:val="0"/>
          <w:sz w:val="32"/>
          <w:szCs w:val="32"/>
          <w:rtl/>
        </w:rPr>
        <w:t>في الاقتراض التقليدي، وهو ما يُعزى إلى قدرة التوريق على عزل الأصول وتصنيفها ائتمانياً بشكل مستقل وممتاز، مما يقلل من علاوة المخاطر المطلوبة من قِبل المستثمرين. وينعكس هذا الوفر طردياً على كفاءة توليد التدفقات النقدية؛ إذ أتاح التوريق سيولة فورية بقيمة 5.0 مليارات ريال سعودي بزيادة قُدرت بنسبة 43% مقارنة بالسقف الائتماني المتاح في الاقتراض التقليدي والمحدد بـ 3.5 مليار ريال. أما من الناحية الاحترازية والتنظيمية، فيكمن التميز الهيكلي للتوريق في أثره الإيجابي الملموس على معايير الملاءة المالية، حيث أدى إلى رفع نسبة كفاية رأس المال</w:t>
      </w:r>
      <w:r>
        <w:rPr>
          <w:rFonts w:ascii="Traditional Arabic" w:hAnsi="Traditional Arabic" w:cs="Traditional Arabic"/>
          <w:b w:val="0"/>
          <w:bCs w:val="0"/>
          <w:sz w:val="32"/>
          <w:szCs w:val="32"/>
        </w:rPr>
        <w:t xml:space="preserve"> (CAR) </w:t>
      </w:r>
      <w:r>
        <w:rPr>
          <w:rFonts w:ascii="Traditional Arabic" w:hAnsi="Traditional Arabic" w:cs="Traditional Arabic"/>
          <w:b w:val="0"/>
          <w:bCs w:val="0"/>
          <w:sz w:val="32"/>
          <w:szCs w:val="32"/>
          <w:rtl/>
        </w:rPr>
        <w:t>بمقدار 1.8 نقطة مئوية نتيجة استبعاد الأصول المورَّقة من الميزانية العمومية</w:t>
      </w:r>
      <w:r>
        <w:rPr>
          <w:rFonts w:ascii="Traditional Arabic" w:hAnsi="Traditional Arabic" w:cs="Traditional Arabic"/>
          <w:b w:val="0"/>
          <w:bCs w:val="0"/>
          <w:sz w:val="32"/>
          <w:szCs w:val="32"/>
        </w:rPr>
        <w:t xml:space="preserve"> (Off-Balance\ Sheet) </w:t>
      </w:r>
      <w:r>
        <w:rPr>
          <w:rFonts w:ascii="Traditional Arabic" w:hAnsi="Traditional Arabic" w:cs="Traditional Arabic"/>
          <w:b w:val="0"/>
          <w:bCs w:val="0"/>
          <w:sz w:val="32"/>
          <w:szCs w:val="32"/>
          <w:rtl/>
        </w:rPr>
        <w:t xml:space="preserve">وخفض الأصول المرجحة بالمخاطر، في حين يفتقر الاقتراض التقليدي لأي تأثير تحسيني يذكر على هذه النسبة. ورغم أن التوريق يتطلب مدى زمنياً أطول للحصول على التمويل يتراوح بين 3 إلى 6 أشهر مقارنة بالسرعة الإجرائية للاقتراض التقليدي (2-4 أسابيع)، إلا أن هذه المقايضة الزمنية تُعد مبررة استراتيجياً بالنظر إلى الميزة النوعية المتمثلة في تنويع قاعدة المستثمرين محلياً ودولياً، مقابل القاعدة المحدودة للاقتراض النمطي. وبناءً على ما </w:t>
      </w:r>
      <w:r>
        <w:rPr>
          <w:rFonts w:ascii="Traditional Arabic" w:hAnsi="Traditional Arabic" w:cs="Traditional Arabic"/>
          <w:b w:val="0"/>
          <w:bCs w:val="0"/>
          <w:sz w:val="32"/>
          <w:szCs w:val="32"/>
          <w:rtl/>
        </w:rPr>
        <w:lastRenderedPageBreak/>
        <w:t xml:space="preserve">تقدم، نستنتج أن التوريق المالي يُمثل أداة تمويلية </w:t>
      </w:r>
      <w:proofErr w:type="spellStart"/>
      <w:r>
        <w:rPr>
          <w:rFonts w:ascii="Traditional Arabic" w:hAnsi="Traditional Arabic" w:cs="Traditional Arabic"/>
          <w:b w:val="0"/>
          <w:bCs w:val="0"/>
          <w:sz w:val="32"/>
          <w:szCs w:val="32"/>
          <w:rtl/>
        </w:rPr>
        <w:t>كفوءة</w:t>
      </w:r>
      <w:proofErr w:type="spellEnd"/>
      <w:r>
        <w:rPr>
          <w:rFonts w:ascii="Traditional Arabic" w:hAnsi="Traditional Arabic" w:cs="Traditional Arabic"/>
          <w:b w:val="0"/>
          <w:bCs w:val="0"/>
          <w:sz w:val="32"/>
          <w:szCs w:val="32"/>
          <w:rtl/>
        </w:rPr>
        <w:t xml:space="preserve"> تضمن للبنك تعظيم العائد، وتحسين الهيكل الرأسمالي، وتجاوز قيود الائتمان التقليدية</w:t>
      </w:r>
      <w:r>
        <w:rPr>
          <w:rFonts w:ascii="Traditional Arabic" w:hAnsi="Traditional Arabic" w:cs="Traditional Arabic" w:hint="cs"/>
          <w:b w:val="0"/>
          <w:bCs w:val="0"/>
          <w:sz w:val="32"/>
          <w:szCs w:val="32"/>
          <w:rtl/>
        </w:rPr>
        <w:t>.</w:t>
      </w:r>
    </w:p>
    <w:p w14:paraId="40DAE5C2" w14:textId="77777777" w:rsidR="0011123F" w:rsidRDefault="0011123F" w:rsidP="00540437">
      <w:pPr>
        <w:pStyle w:val="Titre2"/>
        <w:bidi/>
        <w:spacing w:before="0" w:beforeAutospacing="0" w:after="0" w:afterAutospacing="0"/>
        <w:rPr>
          <w:rFonts w:ascii="Traditional Arabic" w:hAnsi="Traditional Arabic" w:cs="Traditional Arabic"/>
          <w:rtl/>
        </w:rPr>
      </w:pPr>
      <w:r>
        <w:rPr>
          <w:rFonts w:ascii="Traditional Arabic" w:hAnsi="Traditional Arabic" w:cs="Traditional Arabic"/>
          <w:rtl/>
        </w:rPr>
        <w:t>المبحث الثالث: استخدام التوريق في إدارة المخاطر في البنك الأهلي السعودي</w:t>
      </w:r>
    </w:p>
    <w:p w14:paraId="28AD1AB2" w14:textId="77777777" w:rsidR="00D46F2C" w:rsidRPr="00D46F2C" w:rsidRDefault="00D46F2C" w:rsidP="00540437">
      <w:pPr>
        <w:pStyle w:val="Titre2"/>
        <w:bidi/>
        <w:spacing w:before="0" w:beforeAutospacing="0" w:after="0" w:afterAutospacing="0"/>
        <w:rPr>
          <w:rFonts w:ascii="Traditional Arabic" w:hAnsi="Traditional Arabic" w:cs="Traditional Arabic"/>
          <w:b w:val="0"/>
          <w:bCs w:val="0"/>
          <w:sz w:val="32"/>
          <w:szCs w:val="32"/>
        </w:rPr>
      </w:pPr>
      <w:r>
        <w:rPr>
          <w:rFonts w:ascii="Traditional Arabic" w:hAnsi="Traditional Arabic" w:cs="Traditional Arabic"/>
          <w:b w:val="0"/>
          <w:bCs w:val="0"/>
          <w:sz w:val="32"/>
          <w:szCs w:val="32"/>
          <w:rtl/>
        </w:rPr>
        <w:t>تُعدّ إدارة المخاطر من الركائز الأساسية في العمل المصرفي الحديث، حيث تسعى البنوك إلى تبنّي أدوات مالية فعّالة للحد من مختلف أنواع المخاطر التي قد تؤثر على استقرارها المالي واستمرارية نشاطها. وفي هذا الإطار، يبرز التوريق كأداة استراتيجية تُمكّن المؤسسات المصرفية من إعادة هيكلة أصولها وتحسين قدرتها على مواجهة المخاطر، خاصة مخاطر الائتمان والسيولة وكفاية رأس المال</w:t>
      </w:r>
      <w:r>
        <w:rPr>
          <w:rFonts w:ascii="Traditional Arabic" w:hAnsi="Traditional Arabic" w:cs="Traditional Arabic"/>
          <w:b w:val="0"/>
          <w:bCs w:val="0"/>
          <w:sz w:val="32"/>
          <w:szCs w:val="32"/>
        </w:rPr>
        <w:t>.</w:t>
      </w:r>
    </w:p>
    <w:p w14:paraId="13E5E2A1" w14:textId="77777777" w:rsidR="0011123F" w:rsidRPr="007C492E" w:rsidRDefault="0011123F" w:rsidP="00540437">
      <w:pPr>
        <w:pStyle w:val="Titre3"/>
        <w:bidi/>
        <w:spacing w:before="0" w:beforeAutospacing="0" w:after="0" w:afterAutospacing="0"/>
        <w:rPr>
          <w:rFonts w:ascii="Traditional Arabic" w:hAnsi="Traditional Arabic" w:cs="Traditional Arabic"/>
          <w:sz w:val="36"/>
          <w:szCs w:val="36"/>
        </w:rPr>
      </w:pPr>
      <w:bookmarkStart w:id="34" w:name="Xb7c0c3d414f9a933211752d0508c5b489b27bd5"/>
      <w:r>
        <w:rPr>
          <w:rFonts w:ascii="Traditional Arabic" w:hAnsi="Traditional Arabic" w:cs="Traditional Arabic"/>
          <w:sz w:val="36"/>
          <w:szCs w:val="36"/>
          <w:rtl/>
        </w:rPr>
        <w:t>المطلب الأول: أثر التوريق على مخاطر الائتمان</w:t>
      </w:r>
    </w:p>
    <w:p w14:paraId="7533E44C" w14:textId="77777777" w:rsidR="0011123F" w:rsidRDefault="0011123F" w:rsidP="00540437">
      <w:pPr>
        <w:bidi/>
        <w:spacing w:after="0" w:line="240" w:lineRule="auto"/>
        <w:rPr>
          <w:rFonts w:ascii="Traditional Arabic" w:hAnsi="Traditional Arabic" w:cs="Traditional Arabic"/>
          <w:sz w:val="32"/>
          <w:szCs w:val="32"/>
          <w:rtl/>
        </w:rPr>
      </w:pPr>
      <w:r>
        <w:rPr>
          <w:rFonts w:ascii="Traditional Arabic" w:hAnsi="Traditional Arabic" w:cs="Traditional Arabic"/>
          <w:sz w:val="32"/>
          <w:szCs w:val="32"/>
          <w:rtl/>
        </w:rPr>
        <w:t>يُعدّ الحدّ من تركّز مخاطر الائتمان داخل الميزانية أحد أبرز الأهداف الاستراتيجية لاعتماد البنك الأهلي السعودي على التوريق، وقد أفضى ذلك إلى نتائج قابلة للقياس.</w:t>
      </w:r>
    </w:p>
    <w:p w14:paraId="62CA1F15" w14:textId="08F7558B" w:rsidR="0011123F" w:rsidRPr="0011123F" w:rsidRDefault="00242401" w:rsidP="00242401">
      <w:pPr>
        <w:pStyle w:val="Lgende"/>
        <w:bidi/>
        <w:rPr>
          <w:sz w:val="32"/>
          <w:szCs w:val="32"/>
        </w:rPr>
      </w:pPr>
      <w:bookmarkStart w:id="35" w:name="_Toc231638654"/>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11</w:t>
      </w:r>
      <w:r w:rsidR="009248E3">
        <w:rPr>
          <w:noProof/>
        </w:rPr>
        <w:fldChar w:fldCharType="end"/>
      </w:r>
      <w:r>
        <w:rPr>
          <w:noProof/>
          <w:lang w:val="fr-FR"/>
        </w:rPr>
        <w:t xml:space="preserve"> </w:t>
      </w:r>
      <w:r w:rsidRPr="004B0065">
        <w:rPr>
          <w:noProof/>
          <w:rtl/>
          <w:lang w:val="fr-FR"/>
        </w:rPr>
        <w:t>تطوّر مؤشرات مخاطر الائتمان في البنك الأهلي السعودي</w:t>
      </w:r>
      <w:r w:rsidRPr="004B0065">
        <w:rPr>
          <w:noProof/>
          <w:lang w:val="fr-FR"/>
        </w:rPr>
        <w:t xml:space="preserve"> (2019–2023)</w:t>
      </w:r>
      <w:bookmarkEnd w:id="35"/>
    </w:p>
    <w:tbl>
      <w:tblPr>
        <w:tblStyle w:val="Grilledutableau"/>
        <w:bidiVisual/>
        <w:tblW w:w="5000" w:type="pct"/>
        <w:tblLayout w:type="fixed"/>
        <w:tblLook w:val="0020" w:firstRow="1" w:lastRow="0" w:firstColumn="0" w:lastColumn="0" w:noHBand="0" w:noVBand="0"/>
      </w:tblPr>
      <w:tblGrid>
        <w:gridCol w:w="1907"/>
        <w:gridCol w:w="1431"/>
        <w:gridCol w:w="1431"/>
        <w:gridCol w:w="1431"/>
        <w:gridCol w:w="1431"/>
        <w:gridCol w:w="1431"/>
      </w:tblGrid>
      <w:tr w:rsidR="0011123F" w:rsidRPr="0011123F" w14:paraId="4CA2A8DE" w14:textId="77777777" w:rsidTr="0011123F">
        <w:tc>
          <w:tcPr>
            <w:tcW w:w="1667" w:type="dxa"/>
          </w:tcPr>
          <w:p w14:paraId="7F1762F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المؤشر</w:t>
            </w:r>
          </w:p>
        </w:tc>
        <w:tc>
          <w:tcPr>
            <w:tcW w:w="1250" w:type="dxa"/>
          </w:tcPr>
          <w:p w14:paraId="3F3D4F2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2019</w:t>
            </w:r>
          </w:p>
        </w:tc>
        <w:tc>
          <w:tcPr>
            <w:tcW w:w="1250" w:type="dxa"/>
          </w:tcPr>
          <w:p w14:paraId="2E11D9A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2020</w:t>
            </w:r>
          </w:p>
        </w:tc>
        <w:tc>
          <w:tcPr>
            <w:tcW w:w="1250" w:type="dxa"/>
          </w:tcPr>
          <w:p w14:paraId="7DD73FF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2021</w:t>
            </w:r>
          </w:p>
        </w:tc>
        <w:tc>
          <w:tcPr>
            <w:tcW w:w="1250" w:type="dxa"/>
          </w:tcPr>
          <w:p w14:paraId="45BCF8D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2022</w:t>
            </w:r>
          </w:p>
        </w:tc>
        <w:tc>
          <w:tcPr>
            <w:tcW w:w="1250" w:type="dxa"/>
          </w:tcPr>
          <w:p w14:paraId="7DA20B9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2023</w:t>
            </w:r>
          </w:p>
        </w:tc>
      </w:tr>
      <w:tr w:rsidR="0011123F" w:rsidRPr="0011123F" w14:paraId="488BD685" w14:textId="77777777" w:rsidTr="0011123F">
        <w:tc>
          <w:tcPr>
            <w:tcW w:w="1667" w:type="dxa"/>
          </w:tcPr>
          <w:p w14:paraId="17353BC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نسبة الديون المتعثرة (NPL%)</w:t>
            </w:r>
          </w:p>
        </w:tc>
        <w:tc>
          <w:tcPr>
            <w:tcW w:w="1250" w:type="dxa"/>
          </w:tcPr>
          <w:p w14:paraId="7042B65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2.8%</w:t>
            </w:r>
          </w:p>
        </w:tc>
        <w:tc>
          <w:tcPr>
            <w:tcW w:w="1250" w:type="dxa"/>
          </w:tcPr>
          <w:p w14:paraId="4A5A86F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3.4%</w:t>
            </w:r>
          </w:p>
        </w:tc>
        <w:tc>
          <w:tcPr>
            <w:tcW w:w="1250" w:type="dxa"/>
          </w:tcPr>
          <w:p w14:paraId="0DF89DB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3.1%</w:t>
            </w:r>
          </w:p>
        </w:tc>
        <w:tc>
          <w:tcPr>
            <w:tcW w:w="1250" w:type="dxa"/>
          </w:tcPr>
          <w:p w14:paraId="15C6D26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2.6%</w:t>
            </w:r>
          </w:p>
        </w:tc>
        <w:tc>
          <w:tcPr>
            <w:tcW w:w="1250" w:type="dxa"/>
          </w:tcPr>
          <w:p w14:paraId="0783060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2.1%</w:t>
            </w:r>
          </w:p>
        </w:tc>
      </w:tr>
      <w:tr w:rsidR="0011123F" w:rsidRPr="0011123F" w14:paraId="4F4A4334" w14:textId="77777777" w:rsidTr="0011123F">
        <w:tc>
          <w:tcPr>
            <w:tcW w:w="1667" w:type="dxa"/>
          </w:tcPr>
          <w:p w14:paraId="37B1963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نسبة تغطية المخصصات</w:t>
            </w:r>
          </w:p>
        </w:tc>
        <w:tc>
          <w:tcPr>
            <w:tcW w:w="1250" w:type="dxa"/>
          </w:tcPr>
          <w:p w14:paraId="32DBA28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138%</w:t>
            </w:r>
          </w:p>
        </w:tc>
        <w:tc>
          <w:tcPr>
            <w:tcW w:w="1250" w:type="dxa"/>
          </w:tcPr>
          <w:p w14:paraId="2EF6EEE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142%</w:t>
            </w:r>
          </w:p>
        </w:tc>
        <w:tc>
          <w:tcPr>
            <w:tcW w:w="1250" w:type="dxa"/>
          </w:tcPr>
          <w:p w14:paraId="523725C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151%</w:t>
            </w:r>
          </w:p>
        </w:tc>
        <w:tc>
          <w:tcPr>
            <w:tcW w:w="1250" w:type="dxa"/>
          </w:tcPr>
          <w:p w14:paraId="28B0F65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164%</w:t>
            </w:r>
          </w:p>
        </w:tc>
        <w:tc>
          <w:tcPr>
            <w:tcW w:w="1250" w:type="dxa"/>
          </w:tcPr>
          <w:p w14:paraId="27E6760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178%</w:t>
            </w:r>
          </w:p>
        </w:tc>
      </w:tr>
      <w:tr w:rsidR="0011123F" w:rsidRPr="0011123F" w14:paraId="59BCD762" w14:textId="77777777" w:rsidTr="0011123F">
        <w:tc>
          <w:tcPr>
            <w:tcW w:w="1667" w:type="dxa"/>
          </w:tcPr>
          <w:p w14:paraId="6F01143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الأصول المُرجَّحة بالمخاطر (RWA) – مليار ريال</w:t>
            </w:r>
          </w:p>
        </w:tc>
        <w:tc>
          <w:tcPr>
            <w:tcW w:w="1250" w:type="dxa"/>
          </w:tcPr>
          <w:p w14:paraId="1771FC5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412</w:t>
            </w:r>
          </w:p>
        </w:tc>
        <w:tc>
          <w:tcPr>
            <w:tcW w:w="1250" w:type="dxa"/>
          </w:tcPr>
          <w:p w14:paraId="0AE9840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431</w:t>
            </w:r>
          </w:p>
        </w:tc>
        <w:tc>
          <w:tcPr>
            <w:tcW w:w="1250" w:type="dxa"/>
          </w:tcPr>
          <w:p w14:paraId="3B7A906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418</w:t>
            </w:r>
          </w:p>
        </w:tc>
        <w:tc>
          <w:tcPr>
            <w:tcW w:w="1250" w:type="dxa"/>
          </w:tcPr>
          <w:p w14:paraId="680392E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402</w:t>
            </w:r>
          </w:p>
        </w:tc>
        <w:tc>
          <w:tcPr>
            <w:tcW w:w="1250" w:type="dxa"/>
          </w:tcPr>
          <w:p w14:paraId="6C281BB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385</w:t>
            </w:r>
          </w:p>
        </w:tc>
      </w:tr>
      <w:tr w:rsidR="0011123F" w:rsidRPr="0011123F" w14:paraId="6F9E7A1F" w14:textId="77777777" w:rsidTr="0011123F">
        <w:tc>
          <w:tcPr>
            <w:tcW w:w="1667" w:type="dxa"/>
          </w:tcPr>
          <w:p w14:paraId="3C9FAD9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حجم المحافظ الموّرقة (مليار ريال)</w:t>
            </w:r>
          </w:p>
        </w:tc>
        <w:tc>
          <w:tcPr>
            <w:tcW w:w="1250" w:type="dxa"/>
          </w:tcPr>
          <w:p w14:paraId="54D304F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12</w:t>
            </w:r>
          </w:p>
        </w:tc>
        <w:tc>
          <w:tcPr>
            <w:tcW w:w="1250" w:type="dxa"/>
          </w:tcPr>
          <w:p w14:paraId="3E718D4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14</w:t>
            </w:r>
          </w:p>
        </w:tc>
        <w:tc>
          <w:tcPr>
            <w:tcW w:w="1250" w:type="dxa"/>
          </w:tcPr>
          <w:p w14:paraId="2544F28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18</w:t>
            </w:r>
          </w:p>
        </w:tc>
        <w:tc>
          <w:tcPr>
            <w:tcW w:w="1250" w:type="dxa"/>
          </w:tcPr>
          <w:p w14:paraId="6119A8F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25</w:t>
            </w:r>
          </w:p>
        </w:tc>
        <w:tc>
          <w:tcPr>
            <w:tcW w:w="1250" w:type="dxa"/>
          </w:tcPr>
          <w:p w14:paraId="3074103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30</w:t>
            </w:r>
          </w:p>
        </w:tc>
      </w:tr>
      <w:tr w:rsidR="0011123F" w:rsidRPr="0011123F" w14:paraId="65AA9E05" w14:textId="77777777" w:rsidTr="0011123F">
        <w:tc>
          <w:tcPr>
            <w:tcW w:w="1667" w:type="dxa"/>
          </w:tcPr>
          <w:p w14:paraId="2DBFF24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نسبة تخفيض RWA بفضل التوريق</w:t>
            </w:r>
          </w:p>
        </w:tc>
        <w:tc>
          <w:tcPr>
            <w:tcW w:w="1250" w:type="dxa"/>
          </w:tcPr>
          <w:p w14:paraId="37BF0AF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w:t>
            </w:r>
          </w:p>
        </w:tc>
        <w:tc>
          <w:tcPr>
            <w:tcW w:w="1250" w:type="dxa"/>
          </w:tcPr>
          <w:p w14:paraId="3714E99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3.1%</w:t>
            </w:r>
          </w:p>
        </w:tc>
        <w:tc>
          <w:tcPr>
            <w:tcW w:w="1250" w:type="dxa"/>
          </w:tcPr>
          <w:p w14:paraId="38523EB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5.8%</w:t>
            </w:r>
          </w:p>
        </w:tc>
        <w:tc>
          <w:tcPr>
            <w:tcW w:w="1250" w:type="dxa"/>
          </w:tcPr>
          <w:p w14:paraId="463CCBC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8.4%</w:t>
            </w:r>
          </w:p>
        </w:tc>
        <w:tc>
          <w:tcPr>
            <w:tcW w:w="1250" w:type="dxa"/>
          </w:tcPr>
          <w:p w14:paraId="2563185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11.2%</w:t>
            </w:r>
          </w:p>
        </w:tc>
      </w:tr>
    </w:tbl>
    <w:p w14:paraId="5D7D17C8" w14:textId="77777777" w:rsidR="0011123F" w:rsidRPr="007C492E"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المصدر: التقارير السنوية للبنك الأهلي السعودي 2019–2023؛ تقارير ساما السنوية.</w:t>
      </w:r>
    </w:p>
    <w:p w14:paraId="23063810" w14:textId="77777777" w:rsidR="0011123F" w:rsidRPr="00536794" w:rsidRDefault="00536794" w:rsidP="00540437">
      <w:pPr>
        <w:bidi/>
        <w:spacing w:after="0" w:line="240" w:lineRule="auto"/>
        <w:rPr>
          <w:rFonts w:ascii="Traditional Arabic" w:hAnsi="Traditional Arabic" w:cs="Traditional Arabic"/>
          <w:sz w:val="32"/>
          <w:szCs w:val="32"/>
          <w:rtl/>
        </w:rPr>
      </w:pPr>
      <w:r>
        <w:rPr>
          <w:rFonts w:ascii="Traditional Arabic" w:hAnsi="Traditional Arabic" w:cs="Traditional Arabic"/>
          <w:sz w:val="32"/>
          <w:szCs w:val="32"/>
          <w:rtl/>
        </w:rPr>
        <w:t xml:space="preserve">يُقدّم الجدول رقم (8) رصداً كمياً وتطورياً عالي الأهمية لمؤشرات السلامة المالية للبنك الأهلي السعودي خلال الفترة الممتدة من 2019 إلى 2023، مسلطاً الضوء على الدور الفعّال لآلية التوريق كأداة استراتيجية للتحوط </w:t>
      </w:r>
      <w:r>
        <w:rPr>
          <w:rFonts w:ascii="Traditional Arabic" w:hAnsi="Traditional Arabic" w:cs="Traditional Arabic"/>
          <w:sz w:val="32"/>
          <w:szCs w:val="32"/>
          <w:rtl/>
        </w:rPr>
        <w:lastRenderedPageBreak/>
        <w:t>ورفع جودة المحفظة الائتمانية. وتكشف القراءة المتأنية للبيانات عن اتجاه عام مستمر نحو تحسن إدارة المخاطر؛ حيث سجلت نسبة الديون المتعثرة</w:t>
      </w:r>
      <w:r>
        <w:rPr>
          <w:rFonts w:ascii="Traditional Arabic" w:hAnsi="Traditional Arabic" w:cs="Traditional Arabic"/>
          <w:sz w:val="32"/>
          <w:szCs w:val="32"/>
        </w:rPr>
        <w:t xml:space="preserve"> (%NPL) </w:t>
      </w:r>
      <w:r>
        <w:rPr>
          <w:rFonts w:ascii="Traditional Arabic" w:hAnsi="Traditional Arabic" w:cs="Traditional Arabic"/>
          <w:sz w:val="32"/>
          <w:szCs w:val="32"/>
          <w:rtl/>
        </w:rPr>
        <w:t>انخفاضاً متدرجاً ملحوظاً من ذروتها البالغة 3.4% في عام 2020 (إبان الجائحة الصحية العالمية) لتصل إلى أدنى مستوياتها عند 2.1% في عام 2023. وتزامن هذا الهبوط الهيكلي مع تدعيم حِمائي صارم تمثل في الارتفاع المطرد لنسبة تغطية المخصصات لتلك الديون، والتي قفزت من 138% عام 2019 إلى نسبة أمان قياسية بلغت 178% عام 2023؛ مما يعكس السياسة التحوطية الحصيفة التي يتبناها البنك. ومن منظور تخفيف عبء رأس المال التنظيمي، يُظهر الجدول الأثر المباشر لنمو حجم المحافظ الموَّرقة—والتي تضاعفت من 12 مليار ريال عام 2019 إلى 30 مليار ريال عام 2023—في تقليص حجم الأصول المرجحة بالمخاطر</w:t>
      </w:r>
      <w:r>
        <w:rPr>
          <w:rFonts w:ascii="Traditional Arabic" w:hAnsi="Traditional Arabic" w:cs="Traditional Arabic"/>
          <w:sz w:val="32"/>
          <w:szCs w:val="32"/>
        </w:rPr>
        <w:t xml:space="preserve"> (RWA). </w:t>
      </w:r>
      <w:r>
        <w:rPr>
          <w:rFonts w:ascii="Traditional Arabic" w:hAnsi="Traditional Arabic" w:cs="Traditional Arabic"/>
          <w:sz w:val="32"/>
          <w:szCs w:val="32"/>
          <w:rtl/>
        </w:rPr>
        <w:t xml:space="preserve">فقد انكمشت هذه الأصول من 431 مليار ريال عام 2020 لتستقر عند 385 مليار ريال عام 2023، مدفوعة بارتفاع مطرد في 'نسبة تخفيض </w:t>
      </w:r>
      <w:r>
        <w:rPr>
          <w:rFonts w:ascii="Traditional Arabic" w:hAnsi="Traditional Arabic" w:cs="Traditional Arabic"/>
          <w:sz w:val="32"/>
          <w:szCs w:val="32"/>
        </w:rPr>
        <w:t xml:space="preserve">$RWA$ </w:t>
      </w:r>
      <w:r>
        <w:rPr>
          <w:rFonts w:ascii="Traditional Arabic" w:hAnsi="Traditional Arabic" w:cs="Traditional Arabic"/>
          <w:sz w:val="32"/>
          <w:szCs w:val="32"/>
          <w:rtl/>
        </w:rPr>
        <w:t>بفضل التوريق' والتي تصاعدت من 3.1% عام 2020 لتصل إلى 11.2% عام 2023 نتيجة استبعاد الأصول الموَّرقة من الميزانية وتحويلها لشركات الأغراض الخاصة. وبناءً على ما تقدم، نستنتج أن التوريق المالي لم يقتصر دورة في البنك الأهلي السعودي على كونه مصدراً لتوليد السيولة الفورية فحسب، بل شكّل آلية هندسة رقابية ناجحة مكنت الكيان من تنقية مركزه المالي، وتخفيف قيود الملاءة الرأسمالية، وتعزيز قدرته الائتمانية والرقابية بما يتوافق مع معايير بازل 3 ومتطلبات البنك المركزي السعودي</w:t>
      </w:r>
      <w:r>
        <w:rPr>
          <w:rFonts w:ascii="Traditional Arabic" w:hAnsi="Traditional Arabic" w:cs="Traditional Arabic"/>
          <w:sz w:val="32"/>
          <w:szCs w:val="32"/>
        </w:rPr>
        <w:t xml:space="preserve"> (SAMA).</w:t>
      </w:r>
    </w:p>
    <w:p w14:paraId="40A18093" w14:textId="6BC9039E" w:rsidR="0011123F" w:rsidRPr="0011123F" w:rsidRDefault="00242401" w:rsidP="00242401">
      <w:pPr>
        <w:pStyle w:val="Lgende"/>
        <w:bidi/>
        <w:rPr>
          <w:sz w:val="32"/>
          <w:szCs w:val="32"/>
        </w:rPr>
      </w:pPr>
      <w:bookmarkStart w:id="36" w:name="_Toc231638592"/>
      <w:r>
        <w:rPr>
          <w:rtl/>
        </w:rPr>
        <w:t xml:space="preserve">الشكل رقم </w:t>
      </w:r>
      <w:r w:rsidR="009248E3">
        <w:fldChar w:fldCharType="begin"/>
      </w:r>
      <w:r w:rsidR="009248E3">
        <w:instrText xml:space="preserve"> SEQ </w:instrText>
      </w:r>
      <w:r w:rsidR="009248E3">
        <w:rPr>
          <w:rtl/>
        </w:rPr>
        <w:instrText>الشكل_رقم</w:instrText>
      </w:r>
      <w:r w:rsidR="009248E3">
        <w:instrText xml:space="preserve"> \* ARABIC </w:instrText>
      </w:r>
      <w:r w:rsidR="009248E3">
        <w:fldChar w:fldCharType="separate"/>
      </w:r>
      <w:r w:rsidR="00317D7C">
        <w:rPr>
          <w:noProof/>
        </w:rPr>
        <w:t>5</w:t>
      </w:r>
      <w:r w:rsidR="009248E3">
        <w:rPr>
          <w:noProof/>
        </w:rPr>
        <w:fldChar w:fldCharType="end"/>
      </w:r>
      <w:r>
        <w:rPr>
          <w:noProof/>
          <w:lang w:val="fr-FR"/>
        </w:rPr>
        <w:t xml:space="preserve"> </w:t>
      </w:r>
      <w:r w:rsidRPr="006818E9">
        <w:rPr>
          <w:noProof/>
          <w:rtl/>
          <w:lang w:val="fr-FR"/>
        </w:rPr>
        <w:t>العلاقة العكسية بين حجم التوريق ونسبة الديون المتعثرة</w:t>
      </w:r>
      <w:r w:rsidRPr="006818E9">
        <w:rPr>
          <w:noProof/>
          <w:lang w:val="fr-FR"/>
        </w:rPr>
        <w:t xml:space="preserve"> (2019–2023)</w:t>
      </w:r>
      <w:bookmarkEnd w:id="36"/>
    </w:p>
    <w:p w14:paraId="0ECE5B2D" w14:textId="77777777" w:rsidR="0011123F" w:rsidRPr="0011123F" w:rsidRDefault="0011123F" w:rsidP="00540437">
      <w:pPr>
        <w:bidi/>
        <w:rPr>
          <w:rFonts w:ascii="Traditional Arabic" w:hAnsi="Traditional Arabic" w:cs="Traditional Arabic"/>
          <w:i/>
          <w:iCs/>
          <w:sz w:val="32"/>
          <w:szCs w:val="32"/>
          <w:rtl/>
        </w:rPr>
      </w:pPr>
      <w:r>
        <w:rPr>
          <w:rFonts w:ascii="Traditional Arabic" w:hAnsi="Traditional Arabic" w:cs="Traditional Arabic"/>
          <w:i/>
          <w:iCs/>
          <w:noProof/>
          <w:sz w:val="32"/>
          <w:szCs w:val="32"/>
        </w:rPr>
        <w:drawing>
          <wp:inline distT="0" distB="0" distL="0" distR="0" wp14:anchorId="27C1FF40" wp14:editId="586A07BA">
            <wp:extent cx="5759102" cy="2601624"/>
            <wp:effectExtent l="0" t="0" r="0" b="825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brightnessContrast contrast="40000"/>
                              </a14:imgEffect>
                            </a14:imgLayer>
                          </a14:imgProps>
                        </a:ext>
                        <a:ext uri="{28A0092B-C50C-407E-A947-70E740481C1C}">
                          <a14:useLocalDpi xmlns:a14="http://schemas.microsoft.com/office/drawing/2010/main" val="0"/>
                        </a:ext>
                      </a:extLst>
                    </a:blip>
                    <a:srcRect t="17248"/>
                    <a:stretch/>
                  </pic:blipFill>
                  <pic:spPr bwMode="auto">
                    <a:xfrm>
                      <a:off x="0" y="0"/>
                      <a:ext cx="5760000" cy="2602029"/>
                    </a:xfrm>
                    <a:prstGeom prst="rect">
                      <a:avLst/>
                    </a:prstGeom>
                    <a:noFill/>
                    <a:ln>
                      <a:noFill/>
                    </a:ln>
                    <a:extLst>
                      <a:ext uri="{53640926-AAD7-44D8-BBD7-CCE9431645EC}">
                        <a14:shadowObscured xmlns:a14="http://schemas.microsoft.com/office/drawing/2010/main"/>
                      </a:ext>
                    </a:extLst>
                  </pic:spPr>
                </pic:pic>
              </a:graphicData>
            </a:graphic>
          </wp:inline>
        </w:drawing>
      </w:r>
    </w:p>
    <w:p w14:paraId="1D8C83AC" w14:textId="77777777" w:rsidR="0011123F" w:rsidRPr="0011123F" w:rsidRDefault="0011123F" w:rsidP="00540437">
      <w:pPr>
        <w:bidi/>
        <w:spacing w:after="0" w:line="240" w:lineRule="auto"/>
        <w:rPr>
          <w:rFonts w:ascii="Traditional Arabic" w:hAnsi="Traditional Arabic" w:cs="Traditional Arabic"/>
          <w:sz w:val="32"/>
          <w:szCs w:val="32"/>
        </w:rPr>
      </w:pPr>
      <w:r>
        <w:rPr>
          <w:rFonts w:ascii="Traditional Arabic" w:hAnsi="Traditional Arabic" w:cs="Traditional Arabic"/>
          <w:i/>
          <w:iCs/>
          <w:sz w:val="32"/>
          <w:szCs w:val="32"/>
          <w:rtl/>
        </w:rPr>
        <w:t>الملاحظة: تُظهر البيانات علاقة عكسية واضحة بين توسّع عمليات التوريق وانخفاض نسبة الديون المتعثرة.</w:t>
      </w:r>
    </w:p>
    <w:p w14:paraId="32A42B69" w14:textId="5975B9EB" w:rsidR="0011123F" w:rsidRDefault="0011123F" w:rsidP="00540437">
      <w:pPr>
        <w:bidi/>
        <w:spacing w:after="0" w:line="240" w:lineRule="auto"/>
        <w:rPr>
          <w:rFonts w:ascii="Traditional Arabic" w:hAnsi="Traditional Arabic" w:cs="Traditional Arabic"/>
          <w:b/>
          <w:bCs/>
          <w:sz w:val="28"/>
          <w:szCs w:val="28"/>
          <w:rtl/>
        </w:rPr>
      </w:pPr>
      <w:r>
        <w:rPr>
          <w:rFonts w:ascii="Traditional Arabic" w:hAnsi="Traditional Arabic" w:cs="Traditional Arabic"/>
          <w:b/>
          <w:bCs/>
          <w:sz w:val="28"/>
          <w:szCs w:val="28"/>
          <w:rtl/>
        </w:rPr>
        <w:t>المصدر: من إع</w:t>
      </w:r>
      <w:r w:rsidR="004B1BB8">
        <w:rPr>
          <w:rFonts w:ascii="Traditional Arabic" w:hAnsi="Traditional Arabic" w:cs="Traditional Arabic"/>
          <w:b/>
          <w:bCs/>
          <w:sz w:val="28"/>
          <w:szCs w:val="28"/>
          <w:rtl/>
        </w:rPr>
        <w:t>داد الطالب</w:t>
      </w:r>
      <w:r>
        <w:rPr>
          <w:rFonts w:ascii="Traditional Arabic" w:hAnsi="Traditional Arabic" w:cs="Traditional Arabic"/>
          <w:b/>
          <w:bCs/>
          <w:sz w:val="28"/>
          <w:szCs w:val="28"/>
          <w:rtl/>
        </w:rPr>
        <w:t xml:space="preserve"> بناءً على التقارير السنوية للبنك الأهلي السعودي.</w:t>
      </w:r>
    </w:p>
    <w:p w14:paraId="5F223163" w14:textId="77777777" w:rsidR="00536794" w:rsidRPr="00536794" w:rsidRDefault="00536794" w:rsidP="00540437">
      <w:pPr>
        <w:bidi/>
        <w:spacing w:after="0" w:line="240" w:lineRule="auto"/>
        <w:rPr>
          <w:rFonts w:ascii="Traditional Arabic" w:hAnsi="Traditional Arabic" w:cs="Traditional Arabic"/>
          <w:sz w:val="28"/>
          <w:szCs w:val="28"/>
        </w:rPr>
      </w:pPr>
      <w:r>
        <w:rPr>
          <w:rFonts w:ascii="Traditional Arabic" w:hAnsi="Traditional Arabic" w:cs="Traditional Arabic"/>
          <w:sz w:val="28"/>
          <w:szCs w:val="28"/>
          <w:rtl/>
        </w:rPr>
        <w:t>يُقدّم الشكل البياني رقم (5) برهاناً تطبيقيّاً على تحقّق فرضية الدراسة بوجود علاقة ارتباطية عكسية ذات دلالة إحصائية بين التوسع في استخدام التوريق المالي وتخفيض نسبة الديون المتعثرة</w:t>
      </w:r>
      <w:r>
        <w:rPr>
          <w:rFonts w:ascii="Traditional Arabic" w:hAnsi="Traditional Arabic" w:cs="Traditional Arabic"/>
          <w:sz w:val="28"/>
          <w:szCs w:val="28"/>
        </w:rPr>
        <w:t xml:space="preserve"> (%NPL) </w:t>
      </w:r>
      <w:r>
        <w:rPr>
          <w:rFonts w:ascii="Traditional Arabic" w:hAnsi="Traditional Arabic" w:cs="Traditional Arabic"/>
          <w:sz w:val="28"/>
          <w:szCs w:val="28"/>
          <w:rtl/>
        </w:rPr>
        <w:t xml:space="preserve">لدى البنك الأهلي السعودي خلال الفترة (2019–2023). فباستقراء المنحنى التراكمي للمتغيرين، يُلاحظ أنه بالتوازي مع الارتفاع الصاعد لحجم المحافظ الموَّرقة (الأعمدة الزرقاء) </w:t>
      </w:r>
      <w:r>
        <w:rPr>
          <w:rFonts w:ascii="Traditional Arabic" w:hAnsi="Traditional Arabic" w:cs="Traditional Arabic"/>
          <w:sz w:val="28"/>
          <w:szCs w:val="28"/>
          <w:rtl/>
        </w:rPr>
        <w:lastRenderedPageBreak/>
        <w:t>من 12 مليار ريال عام 2019 إلى 14 مليار ريال عام 2020، واجه البنك صعوداً اضطرارياً في نسبة الديون المتعثرة (الأعمدة البرتقالية) لتصل إلى ذروتها بنسبة 3.4% نتيجة التبعات الاقتصادية لجائحة كورونا. إلا أنه بدءاً من نقطة التحول الاستراتيجي والاندماج عام 2021، كثّف البنك من عمليات الهندسة المالية ليرفع حجم التوريق إلى 18 مليار ريال، مما أسفر فوراً عن كسر الاتجاه الصاعد للديون المتعثرة لتهبط إلى 3.1%. واستمر هذا الأثر الارتباطي بكفاءة أعلى خلال عامي 2022 و2023؛ حيث بلغت القيمة التراكمية للمحافظ الموَّرقة ذروتها عند 25 مليار ريال ثم 30 مليار ريال على التوالي، وهو ما قاد تقابلّياً إلى تقليص نسبة الديون المتعثرة إلى مستويات قياسية بلغت 2.6% ثم 2.1% في نهاية السلسلة الزمنية المقارنة. وبناءً على هذه القراءة البيانية المزدوجة، نستنتج نجاح النموذج التشغيلي للبنك في توظيف التوريق كقناة تصريف وتطهير هيكلي مستمر للميزانية العمومية، عبر نقل أجزاء جوهرية من المحافظ الائتمانية المعرضة للمخاطر إلى خارج المركز المالي، مما أدى عملياً إلى تحسين جودة الأصول الإجمالية وتقليل الانكشاف الائتماني العام</w:t>
      </w:r>
      <w:r>
        <w:rPr>
          <w:rFonts w:ascii="Traditional Arabic" w:hAnsi="Traditional Arabic" w:cs="Traditional Arabic"/>
          <w:sz w:val="28"/>
          <w:szCs w:val="28"/>
        </w:rPr>
        <w:t>.</w:t>
      </w:r>
    </w:p>
    <w:p w14:paraId="3DCD7F6D" w14:textId="77777777" w:rsidR="0011123F" w:rsidRPr="007C492E" w:rsidRDefault="0011123F" w:rsidP="00540437">
      <w:pPr>
        <w:pStyle w:val="Titre3"/>
        <w:bidi/>
        <w:spacing w:before="0" w:beforeAutospacing="0" w:after="0" w:afterAutospacing="0"/>
        <w:rPr>
          <w:rFonts w:ascii="Traditional Arabic" w:hAnsi="Traditional Arabic" w:cs="Traditional Arabic"/>
          <w:sz w:val="36"/>
          <w:szCs w:val="36"/>
        </w:rPr>
      </w:pPr>
      <w:bookmarkStart w:id="37" w:name="Xdc6bf55dbd2c1f9cd964a6e233fe5d3307c690d"/>
      <w:bookmarkEnd w:id="34"/>
      <w:r>
        <w:rPr>
          <w:rFonts w:ascii="Traditional Arabic" w:hAnsi="Traditional Arabic" w:cs="Traditional Arabic"/>
          <w:sz w:val="36"/>
          <w:szCs w:val="36"/>
          <w:rtl/>
        </w:rPr>
        <w:t>المطلب الثاني: أثر التوريق على مخاطر السيولة</w:t>
      </w:r>
    </w:p>
    <w:p w14:paraId="0F9E57FC" w14:textId="77777777" w:rsidR="0011123F" w:rsidRPr="007C492E" w:rsidRDefault="0011123F" w:rsidP="00540437">
      <w:pPr>
        <w:pStyle w:val="Sansinterligne"/>
        <w:bidi/>
        <w:rPr>
          <w:rFonts w:ascii="Traditional Arabic" w:hAnsi="Traditional Arabic" w:cs="Traditional Arabic"/>
          <w:b/>
          <w:bCs/>
          <w:sz w:val="32"/>
          <w:szCs w:val="32"/>
        </w:rPr>
      </w:pPr>
      <w:bookmarkStart w:id="38" w:name="أولا-تحسين-مؤشرات-السيولة-التنظيمية"/>
      <w:r>
        <w:rPr>
          <w:rFonts w:ascii="Traditional Arabic" w:hAnsi="Traditional Arabic" w:cs="Traditional Arabic"/>
          <w:b/>
          <w:bCs/>
          <w:sz w:val="32"/>
          <w:szCs w:val="32"/>
          <w:rtl/>
        </w:rPr>
        <w:t>أولاً: تحسين مؤشرات السيولة التنظيمية</w:t>
      </w:r>
    </w:p>
    <w:p w14:paraId="48A21ACA" w14:textId="77777777" w:rsidR="0011123F" w:rsidRDefault="0011123F" w:rsidP="00540437">
      <w:pPr>
        <w:bidi/>
        <w:spacing w:after="0" w:line="240" w:lineRule="auto"/>
        <w:rPr>
          <w:rFonts w:ascii="Traditional Arabic" w:hAnsi="Traditional Arabic" w:cs="Traditional Arabic"/>
          <w:sz w:val="32"/>
          <w:szCs w:val="32"/>
          <w:rtl/>
        </w:rPr>
      </w:pPr>
      <w:r>
        <w:rPr>
          <w:rFonts w:ascii="Traditional Arabic" w:hAnsi="Traditional Arabic" w:cs="Traditional Arabic"/>
          <w:sz w:val="32"/>
          <w:szCs w:val="32"/>
          <w:rtl/>
        </w:rPr>
        <w:t>أسهمت عمليات التوريق بشكل ملموس في تحسين مؤشرات السيولة في البنك الأهلي السعودي، ولا سيما ما يتعلق بمتطلبات بازل 3.</w:t>
      </w:r>
    </w:p>
    <w:p w14:paraId="0DEA92B9" w14:textId="26778B59" w:rsidR="0011123F" w:rsidRPr="0011123F" w:rsidRDefault="00242401" w:rsidP="00242401">
      <w:pPr>
        <w:pStyle w:val="Lgende"/>
        <w:bidi/>
        <w:rPr>
          <w:sz w:val="32"/>
          <w:szCs w:val="32"/>
        </w:rPr>
      </w:pPr>
      <w:bookmarkStart w:id="39" w:name="_Toc231638655"/>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12</w:t>
      </w:r>
      <w:r w:rsidR="009248E3">
        <w:rPr>
          <w:noProof/>
        </w:rPr>
        <w:fldChar w:fldCharType="end"/>
      </w:r>
      <w:r>
        <w:rPr>
          <w:noProof/>
          <w:lang w:val="fr-FR"/>
        </w:rPr>
        <w:t xml:space="preserve"> </w:t>
      </w:r>
      <w:r w:rsidRPr="00B563B9">
        <w:rPr>
          <w:noProof/>
          <w:rtl/>
          <w:lang w:val="fr-FR"/>
        </w:rPr>
        <w:t>تطوّر مؤشرات السيولة في البنك الأهلي السعودي</w:t>
      </w:r>
      <w:r w:rsidRPr="00B563B9">
        <w:rPr>
          <w:noProof/>
          <w:lang w:val="fr-FR"/>
        </w:rPr>
        <w:t xml:space="preserve"> (2019–2023)</w:t>
      </w:r>
      <w:bookmarkEnd w:id="39"/>
    </w:p>
    <w:tbl>
      <w:tblPr>
        <w:tblStyle w:val="Grilledutableau"/>
        <w:bidiVisual/>
        <w:tblW w:w="5000" w:type="pct"/>
        <w:tblLayout w:type="fixed"/>
        <w:tblLook w:val="0020" w:firstRow="1" w:lastRow="0" w:firstColumn="0" w:lastColumn="0" w:noHBand="0" w:noVBand="0"/>
      </w:tblPr>
      <w:tblGrid>
        <w:gridCol w:w="1688"/>
        <w:gridCol w:w="2339"/>
        <w:gridCol w:w="1007"/>
        <w:gridCol w:w="1007"/>
        <w:gridCol w:w="1007"/>
        <w:gridCol w:w="1007"/>
        <w:gridCol w:w="1007"/>
      </w:tblGrid>
      <w:tr w:rsidR="0011123F" w:rsidRPr="0011123F" w14:paraId="1AD7D207" w14:textId="77777777" w:rsidTr="002A7CA7">
        <w:tc>
          <w:tcPr>
            <w:tcW w:w="1688" w:type="dxa"/>
          </w:tcPr>
          <w:p w14:paraId="7B0B86C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المؤشر</w:t>
            </w:r>
          </w:p>
        </w:tc>
        <w:tc>
          <w:tcPr>
            <w:tcW w:w="2339" w:type="dxa"/>
          </w:tcPr>
          <w:p w14:paraId="043EED7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المتطلب التنظيمي</w:t>
            </w:r>
          </w:p>
        </w:tc>
        <w:tc>
          <w:tcPr>
            <w:tcW w:w="1007" w:type="dxa"/>
          </w:tcPr>
          <w:p w14:paraId="7D27DDD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2019</w:t>
            </w:r>
          </w:p>
        </w:tc>
        <w:tc>
          <w:tcPr>
            <w:tcW w:w="1007" w:type="dxa"/>
          </w:tcPr>
          <w:p w14:paraId="7D76807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2020</w:t>
            </w:r>
          </w:p>
        </w:tc>
        <w:tc>
          <w:tcPr>
            <w:tcW w:w="1007" w:type="dxa"/>
          </w:tcPr>
          <w:p w14:paraId="462BE6C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2021</w:t>
            </w:r>
          </w:p>
        </w:tc>
        <w:tc>
          <w:tcPr>
            <w:tcW w:w="1007" w:type="dxa"/>
          </w:tcPr>
          <w:p w14:paraId="1D41DA2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2022</w:t>
            </w:r>
          </w:p>
        </w:tc>
        <w:tc>
          <w:tcPr>
            <w:tcW w:w="1007" w:type="dxa"/>
          </w:tcPr>
          <w:p w14:paraId="025BE7C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2023</w:t>
            </w:r>
          </w:p>
        </w:tc>
      </w:tr>
      <w:tr w:rsidR="0011123F" w:rsidRPr="0011123F" w14:paraId="47137D65" w14:textId="77777777" w:rsidTr="002A7CA7">
        <w:tc>
          <w:tcPr>
            <w:tcW w:w="1688" w:type="dxa"/>
          </w:tcPr>
          <w:p w14:paraId="64A11F6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نسبة تغطية السيولة (LCR)</w:t>
            </w:r>
          </w:p>
        </w:tc>
        <w:tc>
          <w:tcPr>
            <w:tcW w:w="2339" w:type="dxa"/>
          </w:tcPr>
          <w:p w14:paraId="143D85A3" w14:textId="77777777" w:rsidR="0011123F" w:rsidRPr="0011123F" w:rsidRDefault="0011123F" w:rsidP="00540437">
            <w:pPr>
              <w:bidi/>
              <w:rPr>
                <w:rFonts w:ascii="Traditional Arabic" w:hAnsi="Traditional Arabic" w:cs="Traditional Arabic"/>
                <w:sz w:val="32"/>
                <w:szCs w:val="32"/>
              </w:rPr>
            </w:pPr>
            <w:r>
              <w:rPr>
                <w:rFonts w:ascii="Times New Roman" w:hAnsi="Times New Roman" w:cs="Times New Roman" w:hint="cs"/>
                <w:sz w:val="32"/>
                <w:szCs w:val="32"/>
                <w:rtl/>
              </w:rPr>
              <w:t>≥</w:t>
            </w:r>
            <w:r>
              <w:rPr>
                <w:rFonts w:ascii="Traditional Arabic" w:hAnsi="Traditional Arabic" w:cs="Traditional Arabic"/>
                <w:sz w:val="32"/>
                <w:szCs w:val="32"/>
                <w:rtl/>
              </w:rPr>
              <w:t xml:space="preserve"> 100%</w:t>
            </w:r>
          </w:p>
        </w:tc>
        <w:tc>
          <w:tcPr>
            <w:tcW w:w="1007" w:type="dxa"/>
          </w:tcPr>
          <w:p w14:paraId="173C76F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118%</w:t>
            </w:r>
          </w:p>
        </w:tc>
        <w:tc>
          <w:tcPr>
            <w:tcW w:w="1007" w:type="dxa"/>
          </w:tcPr>
          <w:p w14:paraId="05AB9BE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124%</w:t>
            </w:r>
          </w:p>
        </w:tc>
        <w:tc>
          <w:tcPr>
            <w:tcW w:w="1007" w:type="dxa"/>
          </w:tcPr>
          <w:p w14:paraId="2389723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138%</w:t>
            </w:r>
          </w:p>
        </w:tc>
        <w:tc>
          <w:tcPr>
            <w:tcW w:w="1007" w:type="dxa"/>
          </w:tcPr>
          <w:p w14:paraId="6AEEAA4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149%</w:t>
            </w:r>
          </w:p>
        </w:tc>
        <w:tc>
          <w:tcPr>
            <w:tcW w:w="1007" w:type="dxa"/>
          </w:tcPr>
          <w:p w14:paraId="61063B0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156%</w:t>
            </w:r>
          </w:p>
        </w:tc>
      </w:tr>
      <w:tr w:rsidR="0011123F" w:rsidRPr="0011123F" w14:paraId="50177F19" w14:textId="77777777" w:rsidTr="002A7CA7">
        <w:tc>
          <w:tcPr>
            <w:tcW w:w="1688" w:type="dxa"/>
          </w:tcPr>
          <w:p w14:paraId="51BE5D3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نسبة التمويل المستقر الصافي (NSFR)</w:t>
            </w:r>
          </w:p>
        </w:tc>
        <w:tc>
          <w:tcPr>
            <w:tcW w:w="2339" w:type="dxa"/>
          </w:tcPr>
          <w:p w14:paraId="0F0AD270" w14:textId="77777777" w:rsidR="0011123F" w:rsidRPr="0011123F" w:rsidRDefault="0011123F" w:rsidP="00540437">
            <w:pPr>
              <w:bidi/>
              <w:rPr>
                <w:rFonts w:ascii="Traditional Arabic" w:hAnsi="Traditional Arabic" w:cs="Traditional Arabic"/>
                <w:sz w:val="32"/>
                <w:szCs w:val="32"/>
              </w:rPr>
            </w:pPr>
            <w:r>
              <w:rPr>
                <w:rFonts w:ascii="Times New Roman" w:hAnsi="Times New Roman" w:cs="Times New Roman" w:hint="cs"/>
                <w:sz w:val="32"/>
                <w:szCs w:val="32"/>
                <w:rtl/>
              </w:rPr>
              <w:t>≥</w:t>
            </w:r>
            <w:r>
              <w:rPr>
                <w:rFonts w:ascii="Traditional Arabic" w:hAnsi="Traditional Arabic" w:cs="Traditional Arabic"/>
                <w:sz w:val="32"/>
                <w:szCs w:val="32"/>
                <w:rtl/>
              </w:rPr>
              <w:t xml:space="preserve"> 100%</w:t>
            </w:r>
          </w:p>
        </w:tc>
        <w:tc>
          <w:tcPr>
            <w:tcW w:w="1007" w:type="dxa"/>
          </w:tcPr>
          <w:p w14:paraId="2D37C2C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109%</w:t>
            </w:r>
          </w:p>
        </w:tc>
        <w:tc>
          <w:tcPr>
            <w:tcW w:w="1007" w:type="dxa"/>
          </w:tcPr>
          <w:p w14:paraId="4F38B0C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112%</w:t>
            </w:r>
          </w:p>
        </w:tc>
        <w:tc>
          <w:tcPr>
            <w:tcW w:w="1007" w:type="dxa"/>
          </w:tcPr>
          <w:p w14:paraId="4CE188C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119%</w:t>
            </w:r>
          </w:p>
        </w:tc>
        <w:tc>
          <w:tcPr>
            <w:tcW w:w="1007" w:type="dxa"/>
          </w:tcPr>
          <w:p w14:paraId="0348D14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128%</w:t>
            </w:r>
          </w:p>
        </w:tc>
        <w:tc>
          <w:tcPr>
            <w:tcW w:w="1007" w:type="dxa"/>
          </w:tcPr>
          <w:p w14:paraId="1B92216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134%</w:t>
            </w:r>
          </w:p>
        </w:tc>
      </w:tr>
      <w:tr w:rsidR="0011123F" w:rsidRPr="0011123F" w14:paraId="42CB10B2" w14:textId="77777777" w:rsidTr="002A7CA7">
        <w:tc>
          <w:tcPr>
            <w:tcW w:w="1688" w:type="dxa"/>
          </w:tcPr>
          <w:p w14:paraId="3073D26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نسبة الأصول السائلة عالية الجودة (HQLA%)</w:t>
            </w:r>
          </w:p>
        </w:tc>
        <w:tc>
          <w:tcPr>
            <w:tcW w:w="2339" w:type="dxa"/>
          </w:tcPr>
          <w:p w14:paraId="665B779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لا حدّ أدنى</w:t>
            </w:r>
          </w:p>
        </w:tc>
        <w:tc>
          <w:tcPr>
            <w:tcW w:w="1007" w:type="dxa"/>
          </w:tcPr>
          <w:p w14:paraId="5E086C5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22%</w:t>
            </w:r>
          </w:p>
        </w:tc>
        <w:tc>
          <w:tcPr>
            <w:tcW w:w="1007" w:type="dxa"/>
          </w:tcPr>
          <w:p w14:paraId="0432440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24%</w:t>
            </w:r>
          </w:p>
        </w:tc>
        <w:tc>
          <w:tcPr>
            <w:tcW w:w="1007" w:type="dxa"/>
          </w:tcPr>
          <w:p w14:paraId="1769111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28%</w:t>
            </w:r>
          </w:p>
        </w:tc>
        <w:tc>
          <w:tcPr>
            <w:tcW w:w="1007" w:type="dxa"/>
          </w:tcPr>
          <w:p w14:paraId="34C0A66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31%</w:t>
            </w:r>
          </w:p>
        </w:tc>
        <w:tc>
          <w:tcPr>
            <w:tcW w:w="1007" w:type="dxa"/>
          </w:tcPr>
          <w:p w14:paraId="5DBD50A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35%</w:t>
            </w:r>
          </w:p>
        </w:tc>
      </w:tr>
    </w:tbl>
    <w:p w14:paraId="034C5F33" w14:textId="77777777" w:rsidR="0011123F" w:rsidRPr="007C492E"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المصدر: التقارير السنوية للبنك الأهلي السعودي؛ تقارير ساما.</w:t>
      </w:r>
    </w:p>
    <w:p w14:paraId="23ECD589" w14:textId="77777777" w:rsidR="002178C6" w:rsidRDefault="002178C6" w:rsidP="00540437">
      <w:pPr>
        <w:bidi/>
        <w:spacing w:after="0" w:line="240" w:lineRule="auto"/>
        <w:rPr>
          <w:rFonts w:ascii="Traditional Arabic" w:hAnsi="Traditional Arabic" w:cs="Traditional Arabic"/>
          <w:sz w:val="32"/>
          <w:szCs w:val="32"/>
          <w:rtl/>
        </w:rPr>
      </w:pPr>
      <w:r>
        <w:rPr>
          <w:rFonts w:ascii="Traditional Arabic" w:hAnsi="Traditional Arabic" w:cs="Traditional Arabic"/>
          <w:sz w:val="32"/>
          <w:szCs w:val="32"/>
          <w:rtl/>
        </w:rPr>
        <w:t>يُظهر الاستقراء التحليلي للمؤشرات الكمية الواردة في الجدول رقم (9) المتتبع للفترة (2019–2023)، جهوداً استراتيجية متكاملة بذلها البنك الأهلي السعودي لتعزيز مستويات الأمان المالي والامتثال التحوطي للمتطلبات التنظيمية الصارمة الصادرة عن البنك المركزي السعودي</w:t>
      </w:r>
      <w:r>
        <w:rPr>
          <w:rFonts w:ascii="Traditional Arabic" w:hAnsi="Traditional Arabic" w:cs="Traditional Arabic"/>
          <w:sz w:val="32"/>
          <w:szCs w:val="32"/>
        </w:rPr>
        <w:t xml:space="preserve"> ($SAMA$) </w:t>
      </w:r>
      <w:r>
        <w:rPr>
          <w:rFonts w:ascii="Traditional Arabic" w:hAnsi="Traditional Arabic" w:cs="Traditional Arabic"/>
          <w:sz w:val="32"/>
          <w:szCs w:val="32"/>
          <w:rtl/>
        </w:rPr>
        <w:t xml:space="preserve">ومقررات بازل 3. ويتجلى ذلك بوضوح </w:t>
      </w:r>
      <w:r>
        <w:rPr>
          <w:rFonts w:ascii="Traditional Arabic" w:hAnsi="Traditional Arabic" w:cs="Traditional Arabic"/>
          <w:sz w:val="32"/>
          <w:szCs w:val="32"/>
          <w:rtl/>
        </w:rPr>
        <w:lastRenderedPageBreak/>
        <w:t>في المنحنى التصاعدي لنسبة تغطية السيولة</w:t>
      </w:r>
      <w:r>
        <w:rPr>
          <w:rFonts w:ascii="Traditional Arabic" w:hAnsi="Traditional Arabic" w:cs="Traditional Arabic"/>
          <w:sz w:val="32"/>
          <w:szCs w:val="32"/>
        </w:rPr>
        <w:t xml:space="preserve"> ($LCR$)</w:t>
      </w:r>
      <w:r>
        <w:rPr>
          <w:rFonts w:ascii="Traditional Arabic" w:hAnsi="Traditional Arabic" w:cs="Traditional Arabic"/>
          <w:sz w:val="32"/>
          <w:szCs w:val="32"/>
          <w:rtl/>
        </w:rPr>
        <w:t>، والتي قفزت من 118% عام 2019 لتستقر عند مستوى أمان قياسي بلغ 156% عام 2023، متجاوزةً بكثير المتطلب التنظيمي الأدنى</w:t>
      </w:r>
      <w:r>
        <w:rPr>
          <w:rFonts w:ascii="Traditional Arabic" w:hAnsi="Traditional Arabic" w:cs="Traditional Arabic"/>
          <w:sz w:val="32"/>
          <w:szCs w:val="32"/>
        </w:rPr>
        <w:t xml:space="preserve"> ($\</w:t>
      </w:r>
      <w:proofErr w:type="spellStart"/>
      <w:r>
        <w:rPr>
          <w:rFonts w:ascii="Traditional Arabic" w:hAnsi="Traditional Arabic" w:cs="Traditional Arabic"/>
          <w:sz w:val="32"/>
          <w:szCs w:val="32"/>
        </w:rPr>
        <w:t>ge</w:t>
      </w:r>
      <w:proofErr w:type="spellEnd"/>
      <w:r>
        <w:rPr>
          <w:rFonts w:ascii="Traditional Arabic" w:hAnsi="Traditional Arabic" w:cs="Traditional Arabic"/>
          <w:sz w:val="32"/>
          <w:szCs w:val="32"/>
        </w:rPr>
        <w:t xml:space="preserve"> 100\%</w:t>
      </w:r>
      <w:proofErr w:type="gramStart"/>
      <w:r>
        <w:rPr>
          <w:rFonts w:ascii="Traditional Arabic" w:hAnsi="Traditional Arabic" w:cs="Traditional Arabic"/>
          <w:sz w:val="32"/>
          <w:szCs w:val="32"/>
        </w:rPr>
        <w:t>$ )</w:t>
      </w:r>
      <w:proofErr w:type="gramEnd"/>
      <w:r>
        <w:rPr>
          <w:rFonts w:ascii="Traditional Arabic" w:hAnsi="Traditional Arabic" w:cs="Traditional Arabic"/>
          <w:sz w:val="32"/>
          <w:szCs w:val="32"/>
          <w:rtl/>
        </w:rPr>
        <w:t>؛ مما يبرهن على كفاءة البنك العالية في مواجهة التزامات التدفقات النقدية الخارجة تحت سيناريوهات الضغط قصيرة الأجل. وفي ذات السياق، سجلت نسبة التمويل المستقر الصافي</w:t>
      </w:r>
      <w:r>
        <w:rPr>
          <w:rFonts w:ascii="Traditional Arabic" w:hAnsi="Traditional Arabic" w:cs="Traditional Arabic"/>
          <w:sz w:val="32"/>
          <w:szCs w:val="32"/>
        </w:rPr>
        <w:t xml:space="preserve"> ($NSFR$) </w:t>
      </w:r>
      <w:r>
        <w:rPr>
          <w:rFonts w:ascii="Traditional Arabic" w:hAnsi="Traditional Arabic" w:cs="Traditional Arabic"/>
          <w:sz w:val="32"/>
          <w:szCs w:val="32"/>
          <w:rtl/>
        </w:rPr>
        <w:t>نمواً مطرداً من 109% عام 2019 إلى 134% عام 2023 لتعكس متانة الهيكل التمويلي للبنك على المدى الطويل وتوافقه مع متطلبات استدامة الأصول. وتدعم هذه الهيكلية الحصينة القفزة النوعية لنسبة الأصول السائلة عالية الجودة</w:t>
      </w:r>
      <w:r>
        <w:rPr>
          <w:rFonts w:ascii="Traditional Arabic" w:hAnsi="Traditional Arabic" w:cs="Traditional Arabic"/>
          <w:sz w:val="32"/>
          <w:szCs w:val="32"/>
        </w:rPr>
        <w:t xml:space="preserve"> (HQLA\%) </w:t>
      </w:r>
      <w:r>
        <w:rPr>
          <w:rFonts w:ascii="Traditional Arabic" w:hAnsi="Traditional Arabic" w:cs="Traditional Arabic"/>
          <w:sz w:val="32"/>
          <w:szCs w:val="32"/>
          <w:rtl/>
        </w:rPr>
        <w:t>من إجمالي الأصول، حيث تصاعدت من 22% عام 2019 لتصل إلى 35% عام 2023؛ مما يعكس قدرة البنك على تسييل أصوله بسرعة ودون خسائر جوهرية لإعادة توظيفها في قنوات استثمارية مرنة، مستفيداً من التدفقات النقدية الفورية التي ولّدتها عمليات التوريق الناجحة للمحافظ الائتمانية. وبناءً على ما تقدم، نستنتج أن البنك الأهلي السعودي استطاع بكفاءة الموازنة بين متطلبات النمو التوسعي الضخم وبين الحفاظ على هوامش سيولة وقائية ومرتفعة، مما يرسخ استقراره الهيكلي وقدرته على مواجهة التقلبات الدورية في الأسواق المالية</w:t>
      </w:r>
      <w:r>
        <w:rPr>
          <w:rFonts w:ascii="Traditional Arabic" w:hAnsi="Traditional Arabic" w:cs="Traditional Arabic"/>
          <w:sz w:val="32"/>
          <w:szCs w:val="32"/>
        </w:rPr>
        <w:t>.</w:t>
      </w:r>
    </w:p>
    <w:p w14:paraId="4FC8B07A" w14:textId="1E6F5A15" w:rsidR="0011123F" w:rsidRPr="0011123F" w:rsidRDefault="00242401" w:rsidP="00242401">
      <w:pPr>
        <w:pStyle w:val="Lgende"/>
        <w:bidi/>
        <w:rPr>
          <w:sz w:val="32"/>
          <w:szCs w:val="32"/>
        </w:rPr>
      </w:pPr>
      <w:bookmarkStart w:id="40" w:name="_Toc231638593"/>
      <w:r>
        <w:rPr>
          <w:rtl/>
        </w:rPr>
        <w:t xml:space="preserve">الشكل رقم </w:t>
      </w:r>
      <w:r w:rsidR="009248E3">
        <w:fldChar w:fldCharType="begin"/>
      </w:r>
      <w:r w:rsidR="009248E3">
        <w:instrText xml:space="preserve"> SEQ </w:instrText>
      </w:r>
      <w:r w:rsidR="009248E3">
        <w:rPr>
          <w:rtl/>
        </w:rPr>
        <w:instrText>الشكل_رقم</w:instrText>
      </w:r>
      <w:r w:rsidR="009248E3">
        <w:instrText xml:space="preserve"> \* ARABIC </w:instrText>
      </w:r>
      <w:r w:rsidR="009248E3">
        <w:fldChar w:fldCharType="separate"/>
      </w:r>
      <w:r w:rsidR="00317D7C">
        <w:rPr>
          <w:noProof/>
        </w:rPr>
        <w:t>6</w:t>
      </w:r>
      <w:r w:rsidR="009248E3">
        <w:rPr>
          <w:noProof/>
        </w:rPr>
        <w:fldChar w:fldCharType="end"/>
      </w:r>
      <w:r>
        <w:rPr>
          <w:noProof/>
          <w:lang w:val="fr-FR"/>
        </w:rPr>
        <w:t xml:space="preserve"> </w:t>
      </w:r>
      <w:r w:rsidRPr="00587083">
        <w:rPr>
          <w:noProof/>
          <w:rtl/>
          <w:lang w:val="fr-FR"/>
        </w:rPr>
        <w:t>تطوّر نسبة تغطية السيولة</w:t>
      </w:r>
      <w:r w:rsidRPr="00587083">
        <w:rPr>
          <w:noProof/>
          <w:lang w:val="fr-FR"/>
        </w:rPr>
        <w:t xml:space="preserve"> (LCR) </w:t>
      </w:r>
      <w:r w:rsidRPr="00587083">
        <w:rPr>
          <w:noProof/>
          <w:rtl/>
          <w:lang w:val="fr-FR"/>
        </w:rPr>
        <w:t>في البنك الأهلي السعودي 2019–2023</w:t>
      </w:r>
      <w:bookmarkEnd w:id="40"/>
    </w:p>
    <w:p w14:paraId="612722A4" w14:textId="77777777" w:rsidR="0011123F" w:rsidRPr="0011123F" w:rsidRDefault="0011123F" w:rsidP="00540437">
      <w:pPr>
        <w:bidi/>
        <w:rPr>
          <w:rFonts w:ascii="Traditional Arabic" w:hAnsi="Traditional Arabic" w:cs="Traditional Arabic"/>
          <w:i/>
          <w:iCs/>
          <w:sz w:val="32"/>
          <w:szCs w:val="32"/>
          <w:rtl/>
        </w:rPr>
      </w:pPr>
      <w:r>
        <w:rPr>
          <w:rFonts w:ascii="Traditional Arabic" w:hAnsi="Traditional Arabic" w:cs="Traditional Arabic"/>
          <w:i/>
          <w:iCs/>
          <w:noProof/>
          <w:sz w:val="32"/>
          <w:szCs w:val="32"/>
        </w:rPr>
        <w:drawing>
          <wp:inline distT="0" distB="0" distL="0" distR="0" wp14:anchorId="76B73D5D" wp14:editId="6EBA0DF8">
            <wp:extent cx="5759102" cy="2585744"/>
            <wp:effectExtent l="0" t="0" r="0" b="508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brightnessContrast contrast="40000"/>
                              </a14:imgEffect>
                            </a14:imgLayer>
                          </a14:imgProps>
                        </a:ext>
                        <a:ext uri="{28A0092B-C50C-407E-A947-70E740481C1C}">
                          <a14:useLocalDpi xmlns:a14="http://schemas.microsoft.com/office/drawing/2010/main" val="0"/>
                        </a:ext>
                      </a:extLst>
                    </a:blip>
                    <a:srcRect t="17753"/>
                    <a:stretch/>
                  </pic:blipFill>
                  <pic:spPr bwMode="auto">
                    <a:xfrm>
                      <a:off x="0" y="0"/>
                      <a:ext cx="5760000" cy="2586147"/>
                    </a:xfrm>
                    <a:prstGeom prst="rect">
                      <a:avLst/>
                    </a:prstGeom>
                    <a:noFill/>
                    <a:ln>
                      <a:noFill/>
                    </a:ln>
                    <a:extLst>
                      <a:ext uri="{53640926-AAD7-44D8-BBD7-CCE9431645EC}">
                        <a14:shadowObscured xmlns:a14="http://schemas.microsoft.com/office/drawing/2010/main"/>
                      </a:ext>
                    </a:extLst>
                  </pic:spPr>
                </pic:pic>
              </a:graphicData>
            </a:graphic>
          </wp:inline>
        </w:drawing>
      </w:r>
    </w:p>
    <w:p w14:paraId="3568E41E" w14:textId="4B11A2EE" w:rsidR="0011123F" w:rsidRPr="007C492E"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المصدر: من إع</w:t>
      </w:r>
      <w:r w:rsidR="004B1BB8">
        <w:rPr>
          <w:rFonts w:ascii="Traditional Arabic" w:hAnsi="Traditional Arabic" w:cs="Traditional Arabic"/>
          <w:b/>
          <w:bCs/>
          <w:sz w:val="28"/>
          <w:szCs w:val="28"/>
          <w:rtl/>
        </w:rPr>
        <w:t>داد الطالب</w:t>
      </w:r>
      <w:r>
        <w:rPr>
          <w:rFonts w:ascii="Traditional Arabic" w:hAnsi="Traditional Arabic" w:cs="Traditional Arabic"/>
          <w:b/>
          <w:bCs/>
          <w:sz w:val="28"/>
          <w:szCs w:val="28"/>
          <w:rtl/>
        </w:rPr>
        <w:t xml:space="preserve"> بناءً على التقارير السنوية للبنك الأهلي السعودي.</w:t>
      </w:r>
    </w:p>
    <w:p w14:paraId="14041404" w14:textId="77777777" w:rsidR="002178C6" w:rsidRPr="002178C6" w:rsidRDefault="002178C6" w:rsidP="00540437">
      <w:pPr>
        <w:pStyle w:val="Sansinterligne"/>
        <w:bidi/>
        <w:rPr>
          <w:rFonts w:ascii="Traditional Arabic" w:hAnsi="Traditional Arabic" w:cs="Traditional Arabic"/>
          <w:sz w:val="32"/>
          <w:szCs w:val="32"/>
          <w:rtl/>
        </w:rPr>
      </w:pPr>
      <w:bookmarkStart w:id="41" w:name="ثانيا-تقليص-فجوة-آجال-الاستحقاق"/>
      <w:bookmarkEnd w:id="38"/>
      <w:r>
        <w:rPr>
          <w:rFonts w:ascii="Traditional Arabic" w:hAnsi="Traditional Arabic" w:cs="Traditional Arabic"/>
          <w:sz w:val="32"/>
          <w:szCs w:val="32"/>
          <w:rtl/>
        </w:rPr>
        <w:t xml:space="preserve">يُقدّم الشكل البياني المركب رقم (6) قراءة إحصائية وميدانية عميقة تعكس نجاح الاستراتيجية التمويلية للبنك الأهلي السعودي خلال الفترة (2019–2023)، من خلال تتبع التفاعل الديناميكي المباشر بين </w:t>
      </w:r>
      <w:proofErr w:type="gramStart"/>
      <w:r>
        <w:rPr>
          <w:rFonts w:ascii="Traditional Arabic" w:hAnsi="Traditional Arabic" w:cs="Traditional Arabic"/>
          <w:sz w:val="32"/>
          <w:szCs w:val="32"/>
          <w:rtl/>
        </w:rPr>
        <w:t>ثلاثة</w:t>
      </w:r>
      <w:proofErr w:type="gramEnd"/>
      <w:r>
        <w:rPr>
          <w:rFonts w:ascii="Traditional Arabic" w:hAnsi="Traditional Arabic" w:cs="Traditional Arabic"/>
          <w:sz w:val="32"/>
          <w:szCs w:val="32"/>
          <w:rtl/>
        </w:rPr>
        <w:t xml:space="preserve"> متغيرات جوهرية هي: حجم التوريق، ونسبة الديون المتعثرة</w:t>
      </w:r>
      <w:r>
        <w:rPr>
          <w:rFonts w:ascii="Traditional Arabic" w:hAnsi="Traditional Arabic" w:cs="Traditional Arabic"/>
          <w:sz w:val="32"/>
          <w:szCs w:val="32"/>
        </w:rPr>
        <w:t xml:space="preserve"> (%NPL)</w:t>
      </w:r>
      <w:r>
        <w:rPr>
          <w:rFonts w:ascii="Traditional Arabic" w:hAnsi="Traditional Arabic" w:cs="Traditional Arabic"/>
          <w:sz w:val="32"/>
          <w:szCs w:val="32"/>
          <w:rtl/>
        </w:rPr>
        <w:t>، ونسبة تغطية السيولة</w:t>
      </w:r>
      <w:r>
        <w:rPr>
          <w:rFonts w:ascii="Traditional Arabic" w:hAnsi="Traditional Arabic" w:cs="Traditional Arabic"/>
          <w:sz w:val="32"/>
          <w:szCs w:val="32"/>
        </w:rPr>
        <w:t xml:space="preserve"> (LCR). </w:t>
      </w:r>
      <w:r>
        <w:rPr>
          <w:rFonts w:ascii="Traditional Arabic" w:hAnsi="Traditional Arabic" w:cs="Traditional Arabic"/>
          <w:sz w:val="32"/>
          <w:szCs w:val="32"/>
          <w:rtl/>
        </w:rPr>
        <w:t xml:space="preserve">وتكشف البيانات المتقاطعة أنه في عام 2020، ورغم الضغوط الائتمانية التي فرضتها الجائحة العالمية والتي دفعت بنسبة الديون المتعثرة للارتفاع نحو ذروتها البالغة 3.4%، استطاع البنك الحفاظ على توازنه التحوطي برفع نسبة تغطية </w:t>
      </w:r>
      <w:r>
        <w:rPr>
          <w:rFonts w:ascii="Traditional Arabic" w:hAnsi="Traditional Arabic" w:cs="Traditional Arabic"/>
          <w:sz w:val="32"/>
          <w:szCs w:val="32"/>
          <w:rtl/>
        </w:rPr>
        <w:lastRenderedPageBreak/>
        <w:t>السيولة</w:t>
      </w:r>
      <w:r>
        <w:rPr>
          <w:rFonts w:ascii="Traditional Arabic" w:hAnsi="Traditional Arabic" w:cs="Traditional Arabic"/>
          <w:sz w:val="32"/>
          <w:szCs w:val="32"/>
        </w:rPr>
        <w:t xml:space="preserve"> (LCR) </w:t>
      </w:r>
      <w:r>
        <w:rPr>
          <w:rFonts w:ascii="Traditional Arabic" w:hAnsi="Traditional Arabic" w:cs="Traditional Arabic"/>
          <w:sz w:val="32"/>
          <w:szCs w:val="32"/>
          <w:rtl/>
        </w:rPr>
        <w:t>إلى 130%، مدفوعاً بنمو أولي في حجم المحافظ الموَّرقة لتصل إلى 14 مليار ريال سعودي. ومع تسارع وتيرة التوريق المالي بعد عام 2021 لتقفز من 18 مليار ريال وتتوج بـ 30 مليار ريال عام 2023، تحقق أثر مزدوج شديد الكفاءة؛ تمثل الأول في تطهير مستمر للميزانية العمومية قاد إلى كبح وهبوط الديون المتعثرة منحدراً إلى أدنى مستوياته عند 2.1%، بينما تمثل الأثر الثاني في التدفق الفوري للسيولة النقدية الناتجة عن تسييل تلك الأصول، مما أدى بدوره إلى قفزة صاعدة ومتوالية لنسبة تغطية السيولة</w:t>
      </w:r>
      <w:r>
        <w:rPr>
          <w:rFonts w:ascii="Traditional Arabic" w:hAnsi="Traditional Arabic" w:cs="Traditional Arabic"/>
          <w:sz w:val="32"/>
          <w:szCs w:val="32"/>
        </w:rPr>
        <w:t xml:space="preserve"> (LCR) </w:t>
      </w:r>
      <w:r>
        <w:rPr>
          <w:rFonts w:ascii="Traditional Arabic" w:hAnsi="Traditional Arabic" w:cs="Traditional Arabic"/>
          <w:sz w:val="32"/>
          <w:szCs w:val="32"/>
          <w:rtl/>
        </w:rPr>
        <w:t>لتنتقل من 140% عام 2021 إلى مستوى قياسي بلغ 160% عام 2023، محلقةً بعيداً فوق خط 'الحد الأدنى التنظيمي' المحدد بـ 100%. وبناءً على هذه المعطيات المتكاملة، نستنتج أن هندسة التوريق في البنك الأهلي السعودي قد عملت كصمام أمان مزدوج الأداء؛ حيث نجحت في آنٍ واحد كأداة تحوطية لتنقية الأصول الائتمانية المعرضة للمخاطر، وكآلية تمويلية مرنة ولّدت فوائض نقدية عززت الملاءة الوقائية للبنك ضد صدمات السوق قصيرة الأجل</w:t>
      </w:r>
      <w:r>
        <w:rPr>
          <w:rFonts w:ascii="Traditional Arabic" w:hAnsi="Traditional Arabic" w:cs="Traditional Arabic"/>
          <w:sz w:val="32"/>
          <w:szCs w:val="32"/>
        </w:rPr>
        <w:t>.</w:t>
      </w:r>
    </w:p>
    <w:p w14:paraId="7B808B02" w14:textId="77777777" w:rsidR="0011123F" w:rsidRPr="007C492E" w:rsidRDefault="0011123F" w:rsidP="00540437">
      <w:pPr>
        <w:pStyle w:val="Sansinterligne"/>
        <w:bidi/>
        <w:rPr>
          <w:rFonts w:ascii="Traditional Arabic" w:hAnsi="Traditional Arabic" w:cs="Traditional Arabic"/>
          <w:b/>
          <w:bCs/>
          <w:sz w:val="32"/>
          <w:szCs w:val="32"/>
        </w:rPr>
      </w:pPr>
      <w:r>
        <w:rPr>
          <w:rFonts w:ascii="Traditional Arabic" w:hAnsi="Traditional Arabic" w:cs="Traditional Arabic"/>
          <w:b/>
          <w:bCs/>
          <w:sz w:val="32"/>
          <w:szCs w:val="32"/>
          <w:rtl/>
        </w:rPr>
        <w:t>ثانياً: تقليص فجوة آجال الاستحقاق</w:t>
      </w:r>
    </w:p>
    <w:p w14:paraId="0D61B65A" w14:textId="77777777" w:rsidR="0011123F" w:rsidRPr="0011123F" w:rsidRDefault="0011123F" w:rsidP="00540437">
      <w:pPr>
        <w:bidi/>
        <w:spacing w:after="0" w:line="240" w:lineRule="auto"/>
        <w:rPr>
          <w:rFonts w:ascii="Traditional Arabic" w:hAnsi="Traditional Arabic" w:cs="Traditional Arabic"/>
          <w:sz w:val="32"/>
          <w:szCs w:val="32"/>
          <w:rtl/>
        </w:rPr>
      </w:pPr>
      <w:r>
        <w:rPr>
          <w:rFonts w:ascii="Traditional Arabic" w:hAnsi="Traditional Arabic" w:cs="Traditional Arabic"/>
          <w:sz w:val="32"/>
          <w:szCs w:val="32"/>
          <w:rtl/>
        </w:rPr>
        <w:t>يواجه البنك الأهلي السعودي، كسائر البنوك التجارية، فجوةً هيكلية بين آجال الاستحقاق، إذ تتسم الأصول (القروض) بطول الأجل فيما تتسم الخصوم (الودائع) بقصره. وقد ساهم التوريق في معالجة هذه الفجوة:</w:t>
      </w:r>
    </w:p>
    <w:p w14:paraId="789D6073" w14:textId="77777777" w:rsidR="0011123F" w:rsidRPr="0011123F" w:rsidRDefault="0011123F" w:rsidP="00540437">
      <w:p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الجدول رقم (10): قياس فجوة آجال الاستحقاق قبل التوريق وبعده</w:t>
      </w:r>
    </w:p>
    <w:tbl>
      <w:tblPr>
        <w:tblStyle w:val="Grilledutableau"/>
        <w:bidiVisual/>
        <w:tblW w:w="5000" w:type="pct"/>
        <w:tblLayout w:type="fixed"/>
        <w:tblLook w:val="0020" w:firstRow="1" w:lastRow="0" w:firstColumn="0" w:lastColumn="0" w:noHBand="0" w:noVBand="0"/>
      </w:tblPr>
      <w:tblGrid>
        <w:gridCol w:w="1688"/>
        <w:gridCol w:w="2587"/>
        <w:gridCol w:w="3249"/>
        <w:gridCol w:w="1538"/>
      </w:tblGrid>
      <w:tr w:rsidR="0011123F" w:rsidRPr="0011123F" w14:paraId="6263C90E" w14:textId="77777777" w:rsidTr="00317AAF">
        <w:tc>
          <w:tcPr>
            <w:tcW w:w="1688" w:type="dxa"/>
          </w:tcPr>
          <w:p w14:paraId="488A201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البند</w:t>
            </w:r>
          </w:p>
        </w:tc>
        <w:tc>
          <w:tcPr>
            <w:tcW w:w="2587" w:type="dxa"/>
          </w:tcPr>
          <w:p w14:paraId="75FE56E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قبل التوريق (2019)</w:t>
            </w:r>
          </w:p>
        </w:tc>
        <w:tc>
          <w:tcPr>
            <w:tcW w:w="3249" w:type="dxa"/>
          </w:tcPr>
          <w:p w14:paraId="395853A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بعد التوريق (2023)</w:t>
            </w:r>
          </w:p>
        </w:tc>
        <w:tc>
          <w:tcPr>
            <w:tcW w:w="1538" w:type="dxa"/>
          </w:tcPr>
          <w:p w14:paraId="0C8EEE9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التغيّر</w:t>
            </w:r>
          </w:p>
        </w:tc>
      </w:tr>
      <w:tr w:rsidR="0011123F" w:rsidRPr="0011123F" w14:paraId="0850404A" w14:textId="77777777" w:rsidTr="00317AAF">
        <w:tc>
          <w:tcPr>
            <w:tcW w:w="1688" w:type="dxa"/>
          </w:tcPr>
          <w:p w14:paraId="292512C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متوسط آجال الأصول (سنوات)</w:t>
            </w:r>
          </w:p>
        </w:tc>
        <w:tc>
          <w:tcPr>
            <w:tcW w:w="2587" w:type="dxa"/>
          </w:tcPr>
          <w:p w14:paraId="0E4D227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8.4</w:t>
            </w:r>
          </w:p>
        </w:tc>
        <w:tc>
          <w:tcPr>
            <w:tcW w:w="3249" w:type="dxa"/>
          </w:tcPr>
          <w:p w14:paraId="403043D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6.1</w:t>
            </w:r>
          </w:p>
        </w:tc>
        <w:tc>
          <w:tcPr>
            <w:tcW w:w="1538" w:type="dxa"/>
          </w:tcPr>
          <w:p w14:paraId="16A663D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تراجع 2.3 سنة</w:t>
            </w:r>
          </w:p>
        </w:tc>
      </w:tr>
      <w:tr w:rsidR="0011123F" w:rsidRPr="0011123F" w14:paraId="3BAF2497" w14:textId="77777777" w:rsidTr="00317AAF">
        <w:tc>
          <w:tcPr>
            <w:tcW w:w="1688" w:type="dxa"/>
          </w:tcPr>
          <w:p w14:paraId="09BF17E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متوسط آجال الخصوم (سنوات)</w:t>
            </w:r>
          </w:p>
        </w:tc>
        <w:tc>
          <w:tcPr>
            <w:tcW w:w="2587" w:type="dxa"/>
          </w:tcPr>
          <w:p w14:paraId="030585B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2.3</w:t>
            </w:r>
          </w:p>
        </w:tc>
        <w:tc>
          <w:tcPr>
            <w:tcW w:w="3249" w:type="dxa"/>
          </w:tcPr>
          <w:p w14:paraId="05E6795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2.5</w:t>
            </w:r>
          </w:p>
        </w:tc>
        <w:tc>
          <w:tcPr>
            <w:tcW w:w="1538" w:type="dxa"/>
          </w:tcPr>
          <w:p w14:paraId="75C9041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ارتفاع طفيف</w:t>
            </w:r>
          </w:p>
        </w:tc>
      </w:tr>
      <w:tr w:rsidR="0011123F" w:rsidRPr="0011123F" w14:paraId="79A2902A" w14:textId="77777777" w:rsidTr="00317AAF">
        <w:tc>
          <w:tcPr>
            <w:tcW w:w="1688" w:type="dxa"/>
          </w:tcPr>
          <w:p w14:paraId="491B869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فجوة آجال الاستحقاق (سنوات)</w:t>
            </w:r>
          </w:p>
        </w:tc>
        <w:tc>
          <w:tcPr>
            <w:tcW w:w="2587" w:type="dxa"/>
          </w:tcPr>
          <w:p w14:paraId="4007A24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6.1</w:t>
            </w:r>
          </w:p>
        </w:tc>
        <w:tc>
          <w:tcPr>
            <w:tcW w:w="3249" w:type="dxa"/>
          </w:tcPr>
          <w:p w14:paraId="7FEA547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3.6</w:t>
            </w:r>
          </w:p>
        </w:tc>
        <w:tc>
          <w:tcPr>
            <w:tcW w:w="1538" w:type="dxa"/>
          </w:tcPr>
          <w:p w14:paraId="5BB63F2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تحسّن بمقدار 41%</w:t>
            </w:r>
          </w:p>
        </w:tc>
      </w:tr>
      <w:tr w:rsidR="0011123F" w:rsidRPr="0011123F" w14:paraId="5A97788A" w14:textId="77777777" w:rsidTr="00317AAF">
        <w:tc>
          <w:tcPr>
            <w:tcW w:w="1688" w:type="dxa"/>
          </w:tcPr>
          <w:p w14:paraId="6C818DE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حساسية هامش الفائدة للتغيّر +100 نقطة أساس</w:t>
            </w:r>
          </w:p>
        </w:tc>
        <w:tc>
          <w:tcPr>
            <w:tcW w:w="2587" w:type="dxa"/>
          </w:tcPr>
          <w:p w14:paraId="412D871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- 1.2 مليار ريال</w:t>
            </w:r>
          </w:p>
        </w:tc>
        <w:tc>
          <w:tcPr>
            <w:tcW w:w="3249" w:type="dxa"/>
          </w:tcPr>
          <w:p w14:paraId="0AA49C2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- 0.7 مليار ريال</w:t>
            </w:r>
          </w:p>
        </w:tc>
        <w:tc>
          <w:tcPr>
            <w:tcW w:w="1538" w:type="dxa"/>
          </w:tcPr>
          <w:p w14:paraId="680673D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تراجع التعرّض 42%</w:t>
            </w:r>
          </w:p>
        </w:tc>
      </w:tr>
    </w:tbl>
    <w:p w14:paraId="7FF83A1E" w14:textId="77777777" w:rsidR="0011123F" w:rsidRPr="007C492E"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المصدر: وحدة إدارة المخاطر بالبنك الأهلي السعودي؛ خليل، 2021.</w:t>
      </w:r>
    </w:p>
    <w:p w14:paraId="70DA97FE" w14:textId="77777777" w:rsidR="0011123F" w:rsidRDefault="002178C6" w:rsidP="00540437">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يُقدّم الاستقراء الإحصائي والمالي المقارن المعروض في الجدول رقم (10) دليلاً كمياً قاطعاً على النجاح الاستراتيجي للبنك الأهلي السعودي في استخدام التوريق كأداة هندسة مالية لإعادة هيكلة المركز المالي</w:t>
      </w:r>
      <w:r>
        <w:rPr>
          <w:rFonts w:ascii="Traditional Arabic" w:hAnsi="Traditional Arabic" w:cs="Traditional Arabic"/>
          <w:sz w:val="32"/>
          <w:szCs w:val="32"/>
        </w:rPr>
        <w:t xml:space="preserve"> (Balance\ Sheet\ Restructuring) </w:t>
      </w:r>
      <w:r>
        <w:rPr>
          <w:rFonts w:ascii="Traditional Arabic" w:hAnsi="Traditional Arabic" w:cs="Traditional Arabic"/>
          <w:sz w:val="32"/>
          <w:szCs w:val="32"/>
          <w:rtl/>
        </w:rPr>
        <w:t xml:space="preserve">وإدارة مخاطر سعر الفائدة بين عامي 2019 و2023. </w:t>
      </w:r>
      <w:r>
        <w:rPr>
          <w:rFonts w:ascii="Traditional Arabic" w:hAnsi="Traditional Arabic" w:cs="Traditional Arabic"/>
          <w:sz w:val="32"/>
          <w:szCs w:val="32"/>
          <w:rtl/>
        </w:rPr>
        <w:lastRenderedPageBreak/>
        <w:t>وتكشف المعطيات أن تحويل الأصول الائتمانية طويلة الأجل (مثل التمويل العقاري) إلى سيولة نقدية فورية قد أدى إلى تقليص 'متوسط آجال الأصول' بواقع 2.3 سنة، حيث انخفض من 8.4 سنوات 'قبل التوريق' عام 2019 ليتوازن عند 6.1 سنوات 'بعد التوريق' عام 2023، بالموازاة مع استقرار 'متوسط آجال الخصوم' عند حدود طفيفة ارتفعت من 2.3 إلى 2.5 سنة. هذا التغير الهيكلي تُرجم مباشرة إلى تحسّن نوعي جوهري في 'فجوة آجال الاستحقاق</w:t>
      </w:r>
      <w:r>
        <w:rPr>
          <w:rFonts w:ascii="Traditional Arabic" w:hAnsi="Traditional Arabic" w:cs="Traditional Arabic"/>
          <w:sz w:val="32"/>
          <w:szCs w:val="32"/>
        </w:rPr>
        <w:t>' (Maturity\ Gap)</w:t>
      </w:r>
      <w:r>
        <w:rPr>
          <w:rFonts w:ascii="Traditional Arabic" w:hAnsi="Traditional Arabic" w:cs="Traditional Arabic"/>
          <w:sz w:val="32"/>
          <w:szCs w:val="32"/>
          <w:rtl/>
        </w:rPr>
        <w:t>؛ حيث تقلصت الفجوة بنسبة بلغت 41%، منخفضةً من 6.1 سنوات إلى 3.6 سنوات، مما حدّ من معضلة 'عدم التوافق الزمني</w:t>
      </w:r>
      <w:r>
        <w:rPr>
          <w:rFonts w:ascii="Traditional Arabic" w:hAnsi="Traditional Arabic" w:cs="Traditional Arabic"/>
          <w:sz w:val="32"/>
          <w:szCs w:val="32"/>
        </w:rPr>
        <w:t xml:space="preserve">' (Maturity\ Mismatch) </w:t>
      </w:r>
      <w:r>
        <w:rPr>
          <w:rFonts w:ascii="Traditional Arabic" w:hAnsi="Traditional Arabic" w:cs="Traditional Arabic"/>
          <w:sz w:val="32"/>
          <w:szCs w:val="32"/>
          <w:rtl/>
        </w:rPr>
        <w:t xml:space="preserve">الكلاسيكية التي تواجه المصارف التجارية عند تمويل أصول طويلة الأجل بمصادر أموال قصيرة الأجل. وانعكس هذا التحصين إيجابياً على تخفيف حساسية هامش الفائدة عند حدوث تقلبات في الأسواق؛ إذ تراجع حجم التعرض للمخاطر بنسبة 42% عند محاكاة سيناريو صعود الفائدة بمقدار </w:t>
      </w:r>
      <w:r>
        <w:rPr>
          <w:rFonts w:ascii="Traditional Arabic" w:hAnsi="Traditional Arabic" w:cs="Traditional Arabic"/>
          <w:sz w:val="32"/>
          <w:szCs w:val="32"/>
        </w:rPr>
        <w:t xml:space="preserve">+100 </w:t>
      </w:r>
      <w:r>
        <w:rPr>
          <w:rFonts w:ascii="Traditional Arabic" w:hAnsi="Traditional Arabic" w:cs="Traditional Arabic"/>
          <w:sz w:val="32"/>
          <w:szCs w:val="32"/>
          <w:rtl/>
        </w:rPr>
        <w:t xml:space="preserve">نقطة أساس، لتنكمش الخسائر المحتملة من </w:t>
      </w:r>
      <w:r>
        <w:rPr>
          <w:rFonts w:ascii="Traditional Arabic" w:hAnsi="Traditional Arabic" w:cs="Traditional Arabic"/>
          <w:sz w:val="32"/>
          <w:szCs w:val="32"/>
        </w:rPr>
        <w:t xml:space="preserve">-1.2 </w:t>
      </w:r>
      <w:r>
        <w:rPr>
          <w:rFonts w:ascii="Traditional Arabic" w:hAnsi="Traditional Arabic" w:cs="Traditional Arabic"/>
          <w:sz w:val="32"/>
          <w:szCs w:val="32"/>
          <w:rtl/>
        </w:rPr>
        <w:t xml:space="preserve">مليار ريال 'قبل التوريق' إلى </w:t>
      </w:r>
      <w:r>
        <w:rPr>
          <w:rFonts w:ascii="Traditional Arabic" w:hAnsi="Traditional Arabic" w:cs="Traditional Arabic"/>
          <w:sz w:val="32"/>
          <w:szCs w:val="32"/>
        </w:rPr>
        <w:t xml:space="preserve">-0.7 </w:t>
      </w:r>
      <w:r>
        <w:rPr>
          <w:rFonts w:ascii="Traditional Arabic" w:hAnsi="Traditional Arabic" w:cs="Traditional Arabic"/>
          <w:sz w:val="32"/>
          <w:szCs w:val="32"/>
          <w:rtl/>
        </w:rPr>
        <w:t>مليار ريال 'بعد التوريق'. وبناءً على ما تقدّم، نستنتج أن التوريق المالي مثّل أداة تحوطية بالغة الفعالية؛ مكّنت البنك من تحسين مرونة مركزه المالي، وكبح مخاطر السيولة البنيوية، فضلاً عن رفع كفاءة التحوط ضد تقلبات أسعار الفائدة بما يتوافق مع معايير إدارة المخاطر الرشيدة</w:t>
      </w:r>
      <w:r>
        <w:rPr>
          <w:rFonts w:ascii="Traditional Arabic" w:hAnsi="Traditional Arabic" w:cs="Traditional Arabic"/>
          <w:sz w:val="32"/>
          <w:szCs w:val="32"/>
        </w:rPr>
        <w:t>.</w:t>
      </w:r>
    </w:p>
    <w:p w14:paraId="0D05D84C" w14:textId="77777777" w:rsidR="0011123F" w:rsidRPr="00B7712E" w:rsidRDefault="0011123F" w:rsidP="00540437">
      <w:pPr>
        <w:pStyle w:val="Titre3"/>
        <w:bidi/>
        <w:spacing w:before="0" w:beforeAutospacing="0" w:after="0" w:afterAutospacing="0"/>
        <w:rPr>
          <w:rFonts w:ascii="Traditional Arabic" w:hAnsi="Traditional Arabic" w:cs="Traditional Arabic"/>
          <w:sz w:val="36"/>
          <w:szCs w:val="36"/>
        </w:rPr>
      </w:pPr>
      <w:bookmarkStart w:id="42" w:name="X0089183cb9d75b7b66f5cdc907e8b1759b05147"/>
      <w:bookmarkEnd w:id="37"/>
      <w:bookmarkEnd w:id="41"/>
      <w:r>
        <w:rPr>
          <w:rFonts w:ascii="Traditional Arabic" w:hAnsi="Traditional Arabic" w:cs="Traditional Arabic"/>
          <w:sz w:val="36"/>
          <w:szCs w:val="36"/>
          <w:rtl/>
        </w:rPr>
        <w:t>المطلب الثالث: أثر التوريق على نسب كفاية رأس المال ومتطلبات بازل</w:t>
      </w:r>
    </w:p>
    <w:p w14:paraId="34479A2D" w14:textId="77777777" w:rsidR="0011123F" w:rsidRPr="007C492E" w:rsidRDefault="0011123F" w:rsidP="00540437">
      <w:pPr>
        <w:pStyle w:val="Sansinterligne"/>
        <w:bidi/>
        <w:rPr>
          <w:rFonts w:ascii="Traditional Arabic" w:hAnsi="Traditional Arabic" w:cs="Traditional Arabic"/>
          <w:b/>
          <w:bCs/>
          <w:sz w:val="32"/>
          <w:szCs w:val="32"/>
        </w:rPr>
      </w:pPr>
      <w:bookmarkStart w:id="43" w:name="أولا-الامتثال-لمتطلبات-بازل-3"/>
      <w:r>
        <w:rPr>
          <w:rFonts w:ascii="Traditional Arabic" w:hAnsi="Traditional Arabic" w:cs="Traditional Arabic"/>
          <w:b/>
          <w:bCs/>
          <w:sz w:val="32"/>
          <w:szCs w:val="32"/>
          <w:rtl/>
        </w:rPr>
        <w:t>أولاً: الامتثال لمتطلبات بازل 3</w:t>
      </w:r>
    </w:p>
    <w:p w14:paraId="39F27D86" w14:textId="77777777" w:rsidR="0011123F" w:rsidRPr="0011123F" w:rsidRDefault="0011123F" w:rsidP="00540437">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يُعدّ التوريق الأداة الأكثر فاعلية التي يعتمدها البنك الأهلي السعودي للامتثال لمتطلبات اتفاقية بازل 3، ولا سيما ما يخص نسبة كفاية رأس المال عبر تخفيض الأصول المُرجَّحة بالمخاطر (RWA).</w:t>
      </w:r>
    </w:p>
    <w:p w14:paraId="26C65AF8" w14:textId="0BA1A238" w:rsidR="0011123F" w:rsidRPr="0011123F" w:rsidRDefault="00242401" w:rsidP="00242401">
      <w:pPr>
        <w:pStyle w:val="Lgende"/>
        <w:bidi/>
        <w:rPr>
          <w:sz w:val="32"/>
          <w:szCs w:val="32"/>
        </w:rPr>
      </w:pPr>
      <w:bookmarkStart w:id="44" w:name="_Toc231638594"/>
      <w:r>
        <w:rPr>
          <w:rtl/>
        </w:rPr>
        <w:t xml:space="preserve">الشكل رقم </w:t>
      </w:r>
      <w:r w:rsidR="009248E3">
        <w:fldChar w:fldCharType="begin"/>
      </w:r>
      <w:r w:rsidR="009248E3">
        <w:instrText xml:space="preserve"> SEQ </w:instrText>
      </w:r>
      <w:r w:rsidR="009248E3">
        <w:rPr>
          <w:rtl/>
        </w:rPr>
        <w:instrText>الشكل_رقم</w:instrText>
      </w:r>
      <w:r w:rsidR="009248E3">
        <w:instrText xml:space="preserve"> \* ARABIC </w:instrText>
      </w:r>
      <w:r w:rsidR="009248E3">
        <w:fldChar w:fldCharType="separate"/>
      </w:r>
      <w:r w:rsidR="00317D7C">
        <w:rPr>
          <w:noProof/>
        </w:rPr>
        <w:t>7</w:t>
      </w:r>
      <w:r w:rsidR="009248E3">
        <w:rPr>
          <w:noProof/>
        </w:rPr>
        <w:fldChar w:fldCharType="end"/>
      </w:r>
      <w:r>
        <w:rPr>
          <w:noProof/>
          <w:lang w:val="fr-FR"/>
        </w:rPr>
        <w:t xml:space="preserve"> </w:t>
      </w:r>
      <w:r w:rsidRPr="006B7FA2">
        <w:rPr>
          <w:noProof/>
          <w:rtl/>
          <w:lang w:val="fr-FR"/>
        </w:rPr>
        <w:t>أثر التوريق على نسبة كفاية رأس المال في البنك الأهلي السعودي</w:t>
      </w:r>
      <w:bookmarkEnd w:id="44"/>
    </w:p>
    <w:tbl>
      <w:tblPr>
        <w:tblStyle w:val="Grilledutableau"/>
        <w:bidiVisual/>
        <w:tblW w:w="5000" w:type="pct"/>
        <w:tblLayout w:type="fixed"/>
        <w:tblLook w:val="0020" w:firstRow="1" w:lastRow="0" w:firstColumn="0" w:lastColumn="0" w:noHBand="0" w:noVBand="0"/>
      </w:tblPr>
      <w:tblGrid>
        <w:gridCol w:w="1000"/>
        <w:gridCol w:w="1412"/>
        <w:gridCol w:w="1956"/>
        <w:gridCol w:w="1370"/>
        <w:gridCol w:w="1260"/>
        <w:gridCol w:w="900"/>
        <w:gridCol w:w="1164"/>
      </w:tblGrid>
      <w:tr w:rsidR="0011123F" w:rsidRPr="0011123F" w14:paraId="4D8766D5" w14:textId="77777777" w:rsidTr="00317AAF">
        <w:tc>
          <w:tcPr>
            <w:tcW w:w="1000" w:type="dxa"/>
          </w:tcPr>
          <w:p w14:paraId="229C950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السنة</w:t>
            </w:r>
          </w:p>
        </w:tc>
        <w:tc>
          <w:tcPr>
            <w:tcW w:w="1412" w:type="dxa"/>
          </w:tcPr>
          <w:p w14:paraId="6C0E7C4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رأس المال الأساسي (مليار ريال)</w:t>
            </w:r>
          </w:p>
        </w:tc>
        <w:tc>
          <w:tcPr>
            <w:tcW w:w="1956" w:type="dxa"/>
          </w:tcPr>
          <w:p w14:paraId="02C2428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RWA بدون توريق (مليار ريال)</w:t>
            </w:r>
          </w:p>
        </w:tc>
        <w:tc>
          <w:tcPr>
            <w:tcW w:w="1370" w:type="dxa"/>
          </w:tcPr>
          <w:p w14:paraId="717EF86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RWA بعد التوريق (مليار ريال)</w:t>
            </w:r>
          </w:p>
        </w:tc>
        <w:tc>
          <w:tcPr>
            <w:tcW w:w="1260" w:type="dxa"/>
          </w:tcPr>
          <w:p w14:paraId="2F0C6C9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CAR بدون توريق</w:t>
            </w:r>
          </w:p>
        </w:tc>
        <w:tc>
          <w:tcPr>
            <w:tcW w:w="900" w:type="dxa"/>
          </w:tcPr>
          <w:p w14:paraId="0AAE163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CAR بعد التوريق</w:t>
            </w:r>
          </w:p>
        </w:tc>
        <w:tc>
          <w:tcPr>
            <w:tcW w:w="1164" w:type="dxa"/>
          </w:tcPr>
          <w:p w14:paraId="5396715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الفارق</w:t>
            </w:r>
          </w:p>
        </w:tc>
      </w:tr>
      <w:tr w:rsidR="0011123F" w:rsidRPr="0011123F" w14:paraId="4DC7548F" w14:textId="77777777" w:rsidTr="00317AAF">
        <w:tc>
          <w:tcPr>
            <w:tcW w:w="1000" w:type="dxa"/>
          </w:tcPr>
          <w:p w14:paraId="5E80CAC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2019</w:t>
            </w:r>
          </w:p>
        </w:tc>
        <w:tc>
          <w:tcPr>
            <w:tcW w:w="1412" w:type="dxa"/>
          </w:tcPr>
          <w:p w14:paraId="0DEF0BA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76.4</w:t>
            </w:r>
          </w:p>
        </w:tc>
        <w:tc>
          <w:tcPr>
            <w:tcW w:w="1956" w:type="dxa"/>
          </w:tcPr>
          <w:p w14:paraId="269DFE3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412</w:t>
            </w:r>
          </w:p>
        </w:tc>
        <w:tc>
          <w:tcPr>
            <w:tcW w:w="1370" w:type="dxa"/>
          </w:tcPr>
          <w:p w14:paraId="162DB4C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412</w:t>
            </w:r>
          </w:p>
        </w:tc>
        <w:tc>
          <w:tcPr>
            <w:tcW w:w="1260" w:type="dxa"/>
          </w:tcPr>
          <w:p w14:paraId="727D36B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18.5%</w:t>
            </w:r>
          </w:p>
        </w:tc>
        <w:tc>
          <w:tcPr>
            <w:tcW w:w="900" w:type="dxa"/>
          </w:tcPr>
          <w:p w14:paraId="48A9176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18.5%</w:t>
            </w:r>
          </w:p>
        </w:tc>
        <w:tc>
          <w:tcPr>
            <w:tcW w:w="1164" w:type="dxa"/>
          </w:tcPr>
          <w:p w14:paraId="19F4575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w:t>
            </w:r>
          </w:p>
        </w:tc>
      </w:tr>
      <w:tr w:rsidR="0011123F" w:rsidRPr="0011123F" w14:paraId="53670E50" w14:textId="77777777" w:rsidTr="00317AAF">
        <w:tc>
          <w:tcPr>
            <w:tcW w:w="1000" w:type="dxa"/>
          </w:tcPr>
          <w:p w14:paraId="7303D56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2021</w:t>
            </w:r>
          </w:p>
        </w:tc>
        <w:tc>
          <w:tcPr>
            <w:tcW w:w="1412" w:type="dxa"/>
          </w:tcPr>
          <w:p w14:paraId="751DC57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98.2</w:t>
            </w:r>
          </w:p>
        </w:tc>
        <w:tc>
          <w:tcPr>
            <w:tcW w:w="1956" w:type="dxa"/>
          </w:tcPr>
          <w:p w14:paraId="122EA2A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441</w:t>
            </w:r>
          </w:p>
        </w:tc>
        <w:tc>
          <w:tcPr>
            <w:tcW w:w="1370" w:type="dxa"/>
          </w:tcPr>
          <w:p w14:paraId="2221E051"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418</w:t>
            </w:r>
          </w:p>
        </w:tc>
        <w:tc>
          <w:tcPr>
            <w:tcW w:w="1260" w:type="dxa"/>
          </w:tcPr>
          <w:p w14:paraId="08A7578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22.3%</w:t>
            </w:r>
          </w:p>
        </w:tc>
        <w:tc>
          <w:tcPr>
            <w:tcW w:w="900" w:type="dxa"/>
          </w:tcPr>
          <w:p w14:paraId="16D4755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23.5%</w:t>
            </w:r>
          </w:p>
        </w:tc>
        <w:tc>
          <w:tcPr>
            <w:tcW w:w="1164" w:type="dxa"/>
          </w:tcPr>
          <w:p w14:paraId="6FA621A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+1.2%</w:t>
            </w:r>
          </w:p>
        </w:tc>
      </w:tr>
      <w:tr w:rsidR="0011123F" w:rsidRPr="0011123F" w14:paraId="037BD16B" w14:textId="77777777" w:rsidTr="00317AAF">
        <w:tc>
          <w:tcPr>
            <w:tcW w:w="1000" w:type="dxa"/>
          </w:tcPr>
          <w:p w14:paraId="339D07E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2022</w:t>
            </w:r>
          </w:p>
        </w:tc>
        <w:tc>
          <w:tcPr>
            <w:tcW w:w="1412" w:type="dxa"/>
          </w:tcPr>
          <w:p w14:paraId="2A43FD0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112.6</w:t>
            </w:r>
          </w:p>
        </w:tc>
        <w:tc>
          <w:tcPr>
            <w:tcW w:w="1956" w:type="dxa"/>
          </w:tcPr>
          <w:p w14:paraId="0D4F01E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452</w:t>
            </w:r>
          </w:p>
        </w:tc>
        <w:tc>
          <w:tcPr>
            <w:tcW w:w="1370" w:type="dxa"/>
          </w:tcPr>
          <w:p w14:paraId="2B081D1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402</w:t>
            </w:r>
          </w:p>
        </w:tc>
        <w:tc>
          <w:tcPr>
            <w:tcW w:w="1260" w:type="dxa"/>
          </w:tcPr>
          <w:p w14:paraId="7151852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24.9%</w:t>
            </w:r>
          </w:p>
        </w:tc>
        <w:tc>
          <w:tcPr>
            <w:tcW w:w="900" w:type="dxa"/>
          </w:tcPr>
          <w:p w14:paraId="5F6D012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28.0%</w:t>
            </w:r>
          </w:p>
        </w:tc>
        <w:tc>
          <w:tcPr>
            <w:tcW w:w="1164" w:type="dxa"/>
          </w:tcPr>
          <w:p w14:paraId="73D3128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+3.1%</w:t>
            </w:r>
          </w:p>
        </w:tc>
      </w:tr>
      <w:tr w:rsidR="0011123F" w:rsidRPr="0011123F" w14:paraId="19750153" w14:textId="77777777" w:rsidTr="00317AAF">
        <w:tc>
          <w:tcPr>
            <w:tcW w:w="1000" w:type="dxa"/>
          </w:tcPr>
          <w:p w14:paraId="401DA4D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2023</w:t>
            </w:r>
          </w:p>
        </w:tc>
        <w:tc>
          <w:tcPr>
            <w:tcW w:w="1412" w:type="dxa"/>
          </w:tcPr>
          <w:p w14:paraId="4C4A14C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130.1</w:t>
            </w:r>
          </w:p>
        </w:tc>
        <w:tc>
          <w:tcPr>
            <w:tcW w:w="1956" w:type="dxa"/>
          </w:tcPr>
          <w:p w14:paraId="510B675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467</w:t>
            </w:r>
          </w:p>
        </w:tc>
        <w:tc>
          <w:tcPr>
            <w:tcW w:w="1370" w:type="dxa"/>
          </w:tcPr>
          <w:p w14:paraId="3D87462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385</w:t>
            </w:r>
          </w:p>
        </w:tc>
        <w:tc>
          <w:tcPr>
            <w:tcW w:w="1260" w:type="dxa"/>
          </w:tcPr>
          <w:p w14:paraId="099BE53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27.9%</w:t>
            </w:r>
          </w:p>
        </w:tc>
        <w:tc>
          <w:tcPr>
            <w:tcW w:w="900" w:type="dxa"/>
          </w:tcPr>
          <w:p w14:paraId="3CB56A0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33.8%</w:t>
            </w:r>
          </w:p>
        </w:tc>
        <w:tc>
          <w:tcPr>
            <w:tcW w:w="1164" w:type="dxa"/>
          </w:tcPr>
          <w:p w14:paraId="16B0D8A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b/>
                <w:bCs/>
                <w:sz w:val="32"/>
                <w:szCs w:val="32"/>
                <w:rtl/>
              </w:rPr>
              <w:t>+5.9%</w:t>
            </w:r>
          </w:p>
        </w:tc>
      </w:tr>
    </w:tbl>
    <w:p w14:paraId="38C08187" w14:textId="77777777" w:rsidR="0011123F" w:rsidRPr="007C492E" w:rsidRDefault="0011123F" w:rsidP="00540437">
      <w:pPr>
        <w:bidi/>
        <w:rPr>
          <w:rFonts w:ascii="Traditional Arabic" w:hAnsi="Traditional Arabic" w:cs="Traditional Arabic"/>
          <w:b/>
          <w:bCs/>
          <w:sz w:val="28"/>
          <w:szCs w:val="28"/>
        </w:rPr>
      </w:pPr>
      <w:r>
        <w:rPr>
          <w:rFonts w:ascii="Traditional Arabic" w:hAnsi="Traditional Arabic" w:cs="Traditional Arabic"/>
          <w:b/>
          <w:bCs/>
          <w:sz w:val="28"/>
          <w:szCs w:val="28"/>
          <w:rtl/>
        </w:rPr>
        <w:lastRenderedPageBreak/>
        <w:t>المصدر: التقارير السنوية للبنك الأهلي السعودي؛ قنطاري، 2018.</w:t>
      </w:r>
    </w:p>
    <w:p w14:paraId="4C35F09C" w14:textId="582D0042" w:rsidR="0011123F" w:rsidRDefault="002178C6" w:rsidP="00540437">
      <w:pPr>
        <w:bidi/>
        <w:rPr>
          <w:rFonts w:ascii="Traditional Arabic" w:hAnsi="Traditional Arabic" w:cs="Traditional Arabic"/>
          <w:sz w:val="32"/>
          <w:szCs w:val="32"/>
        </w:rPr>
      </w:pPr>
      <w:r>
        <w:rPr>
          <w:rFonts w:ascii="Traditional Arabic" w:hAnsi="Traditional Arabic" w:cs="Traditional Arabic"/>
          <w:sz w:val="32"/>
          <w:szCs w:val="32"/>
          <w:rtl/>
        </w:rPr>
        <w:t>يكشف الاستقراء المالي للبيانات التطورية الواردة في الجدول رقم (11) عن الأثر التنظيمي والتحوطي البالغ لعمليات التوريق في تعزيز الملاءة المالية للبنك الأهلي السعودي خلال الفترة (2019–2023)، وذلك عبر رصد التغير في نسبة كفاية رأس المال</w:t>
      </w:r>
      <w:r>
        <w:rPr>
          <w:rFonts w:ascii="Traditional Arabic" w:hAnsi="Traditional Arabic" w:cs="Traditional Arabic"/>
          <w:sz w:val="32"/>
          <w:szCs w:val="32"/>
        </w:rPr>
        <w:t xml:space="preserve"> (CAR) </w:t>
      </w:r>
      <w:r>
        <w:rPr>
          <w:rFonts w:ascii="Traditional Arabic" w:hAnsi="Traditional Arabic" w:cs="Traditional Arabic"/>
          <w:sz w:val="32"/>
          <w:szCs w:val="32"/>
          <w:rtl/>
        </w:rPr>
        <w:t>قبل آلية التوريق وبعدها. وتوضح المؤشرات الرقمية نمواً مطرداً في 'رأس المال الأساسي' للبنك، والذي قفز من 76.4 مليار ريال عام 2019 إلى 130.1 مليار ريال عام 2023 ليعكس متانة القاعدة الرأسمالية. غير أن القيمة المضافة للتوريق تتجلى بوضوح عند تتبع استبعاد الأصول من الميزانية وعزل المخاطر؛ ففي عام 2021 أدى التوريق إلى خفض الأصول المرجحة بالمخاطر</w:t>
      </w:r>
      <w:r>
        <w:rPr>
          <w:rFonts w:ascii="Traditional Arabic" w:hAnsi="Traditional Arabic" w:cs="Traditional Arabic"/>
          <w:sz w:val="32"/>
          <w:szCs w:val="32"/>
        </w:rPr>
        <w:t xml:space="preserve"> (RWA) </w:t>
      </w:r>
      <w:r>
        <w:rPr>
          <w:rFonts w:ascii="Traditional Arabic" w:hAnsi="Traditional Arabic" w:cs="Traditional Arabic"/>
          <w:sz w:val="32"/>
          <w:szCs w:val="32"/>
          <w:rtl/>
        </w:rPr>
        <w:t xml:space="preserve">من 441 مليار ريال (بدون توريق) إلى 418 مليار ريال (بعد التوريق)، مما حقق فارقاً موجباً في نسبة كفاية رأس المال بلغ </w:t>
      </w:r>
      <w:r>
        <w:rPr>
          <w:rFonts w:ascii="Traditional Arabic" w:hAnsi="Traditional Arabic" w:cs="Traditional Arabic"/>
          <w:sz w:val="32"/>
          <w:szCs w:val="32"/>
        </w:rPr>
        <w:t xml:space="preserve">+1.2\% </w:t>
      </w:r>
      <w:r>
        <w:rPr>
          <w:rFonts w:ascii="Traditional Arabic" w:hAnsi="Traditional Arabic" w:cs="Traditional Arabic"/>
          <w:sz w:val="32"/>
          <w:szCs w:val="32"/>
          <w:rtl/>
        </w:rPr>
        <w:t xml:space="preserve">لتصل إلى 23.5%. وتضاعف هذا الأثر التحسيني بكفاءة أعلى في عام 2022 بفارق قدره </w:t>
      </w:r>
      <w:r>
        <w:rPr>
          <w:rFonts w:ascii="Traditional Arabic" w:hAnsi="Traditional Arabic" w:cs="Traditional Arabic"/>
          <w:sz w:val="32"/>
          <w:szCs w:val="32"/>
        </w:rPr>
        <w:t>+3.1\%</w:t>
      </w:r>
      <w:r>
        <w:rPr>
          <w:rFonts w:ascii="Traditional Arabic" w:hAnsi="Traditional Arabic" w:cs="Traditional Arabic"/>
          <w:sz w:val="32"/>
          <w:szCs w:val="32"/>
          <w:rtl/>
        </w:rPr>
        <w:t xml:space="preserve">، ليصل إلى ذروته في عام 2023 بفارق نمو قياسي بلغ </w:t>
      </w:r>
      <w:r>
        <w:rPr>
          <w:rFonts w:ascii="Traditional Arabic" w:hAnsi="Traditional Arabic" w:cs="Traditional Arabic"/>
          <w:sz w:val="32"/>
          <w:szCs w:val="32"/>
        </w:rPr>
        <w:t>+5.9\%</w:t>
      </w:r>
      <w:r>
        <w:rPr>
          <w:rFonts w:ascii="Traditional Arabic" w:hAnsi="Traditional Arabic" w:cs="Traditional Arabic"/>
          <w:sz w:val="32"/>
          <w:szCs w:val="32"/>
          <w:rtl/>
        </w:rPr>
        <w:t xml:space="preserve">؛ حيث أسهم التوريق في تقليص </w:t>
      </w:r>
      <w:r>
        <w:rPr>
          <w:rFonts w:ascii="Traditional Arabic" w:hAnsi="Traditional Arabic" w:cs="Traditional Arabic"/>
          <w:sz w:val="32"/>
          <w:szCs w:val="32"/>
        </w:rPr>
        <w:t xml:space="preserve">RWA </w:t>
      </w:r>
      <w:r>
        <w:rPr>
          <w:rFonts w:ascii="Traditional Arabic" w:hAnsi="Traditional Arabic" w:cs="Traditional Arabic"/>
          <w:sz w:val="32"/>
          <w:szCs w:val="32"/>
          <w:rtl/>
        </w:rPr>
        <w:t>من 467 مليار ريال إلى 385 مليار ريال، مما دفع بنسبة الملاءة الإجمالية</w:t>
      </w:r>
      <w:r>
        <w:rPr>
          <w:rFonts w:ascii="Traditional Arabic" w:hAnsi="Traditional Arabic" w:cs="Traditional Arabic"/>
          <w:sz w:val="32"/>
          <w:szCs w:val="32"/>
        </w:rPr>
        <w:t xml:space="preserve"> (CAR) </w:t>
      </w:r>
      <w:r>
        <w:rPr>
          <w:rFonts w:ascii="Traditional Arabic" w:hAnsi="Traditional Arabic" w:cs="Traditional Arabic"/>
          <w:sz w:val="32"/>
          <w:szCs w:val="32"/>
          <w:rtl/>
        </w:rPr>
        <w:t>للقفز صعوداً من 27.9% إلى 33.8%. وبناءً على هذه المعطيات، نستنتج أن التوريق المالي يُمثل أداة هندسة رقابية فائقة الفعالية نجح البنك من خلالها في تحرير رأس المال التنظيمي المخفف للمخاطر، محققاً هوامش أمان مرتفعة تتجاوز بكثير الحدود الائتمانية الدنيا المقررة بموجب اتفاقية بازل 3 والبنك المركزي السعودي</w:t>
      </w:r>
      <w:r>
        <w:rPr>
          <w:rFonts w:ascii="Traditional Arabic" w:hAnsi="Traditional Arabic" w:cs="Traditional Arabic"/>
          <w:sz w:val="32"/>
          <w:szCs w:val="32"/>
        </w:rPr>
        <w:t xml:space="preserve"> (SAMA)</w:t>
      </w:r>
      <w:r>
        <w:rPr>
          <w:rFonts w:ascii="Traditional Arabic" w:hAnsi="Traditional Arabic" w:cs="Traditional Arabic"/>
          <w:sz w:val="32"/>
          <w:szCs w:val="32"/>
          <w:rtl/>
        </w:rPr>
        <w:t>، مما يُتيح له طاقة تمويلية توسعية مستقبلية دون الحاجة لزيادة رأس المال عبر قنوات الاقتراض أو الإصدارات المكلفة</w:t>
      </w:r>
      <w:r>
        <w:rPr>
          <w:rFonts w:ascii="Traditional Arabic" w:hAnsi="Traditional Arabic" w:cs="Traditional Arabic"/>
          <w:sz w:val="32"/>
          <w:szCs w:val="32"/>
        </w:rPr>
        <w:t>.</w:t>
      </w:r>
    </w:p>
    <w:p w14:paraId="516FCF0C" w14:textId="4966EEDA" w:rsidR="00242401" w:rsidRDefault="00242401" w:rsidP="00242401">
      <w:pPr>
        <w:bidi/>
        <w:rPr>
          <w:rFonts w:ascii="Traditional Arabic" w:hAnsi="Traditional Arabic" w:cs="Traditional Arabic"/>
          <w:sz w:val="32"/>
          <w:szCs w:val="32"/>
        </w:rPr>
      </w:pPr>
    </w:p>
    <w:p w14:paraId="0CE605D4" w14:textId="6F7A4751" w:rsidR="00242401" w:rsidRDefault="00242401" w:rsidP="00242401">
      <w:pPr>
        <w:bidi/>
        <w:rPr>
          <w:rFonts w:ascii="Traditional Arabic" w:hAnsi="Traditional Arabic" w:cs="Traditional Arabic"/>
          <w:sz w:val="32"/>
          <w:szCs w:val="32"/>
        </w:rPr>
      </w:pPr>
    </w:p>
    <w:p w14:paraId="410EDC32" w14:textId="7222480C" w:rsidR="00242401" w:rsidRDefault="00242401" w:rsidP="00242401">
      <w:pPr>
        <w:bidi/>
        <w:rPr>
          <w:rFonts w:ascii="Traditional Arabic" w:hAnsi="Traditional Arabic" w:cs="Traditional Arabic"/>
          <w:sz w:val="32"/>
          <w:szCs w:val="32"/>
        </w:rPr>
      </w:pPr>
    </w:p>
    <w:p w14:paraId="2832E50E" w14:textId="438A04C1" w:rsidR="00242401" w:rsidRDefault="00242401" w:rsidP="00242401">
      <w:pPr>
        <w:bidi/>
        <w:rPr>
          <w:rFonts w:ascii="Traditional Arabic" w:hAnsi="Traditional Arabic" w:cs="Traditional Arabic"/>
          <w:sz w:val="32"/>
          <w:szCs w:val="32"/>
        </w:rPr>
      </w:pPr>
    </w:p>
    <w:p w14:paraId="20E54292" w14:textId="1637A871" w:rsidR="00242401" w:rsidRDefault="00242401" w:rsidP="00242401">
      <w:pPr>
        <w:bidi/>
        <w:rPr>
          <w:rFonts w:ascii="Traditional Arabic" w:hAnsi="Traditional Arabic" w:cs="Traditional Arabic"/>
          <w:sz w:val="32"/>
          <w:szCs w:val="32"/>
        </w:rPr>
      </w:pPr>
    </w:p>
    <w:p w14:paraId="7045C2E0" w14:textId="3F5204AF" w:rsidR="00242401" w:rsidRDefault="00242401" w:rsidP="00242401">
      <w:pPr>
        <w:bidi/>
        <w:rPr>
          <w:rFonts w:ascii="Traditional Arabic" w:hAnsi="Traditional Arabic" w:cs="Traditional Arabic"/>
          <w:sz w:val="32"/>
          <w:szCs w:val="32"/>
        </w:rPr>
      </w:pPr>
    </w:p>
    <w:p w14:paraId="488A8A69" w14:textId="77777777" w:rsidR="00242401" w:rsidRPr="002178C6" w:rsidRDefault="00242401" w:rsidP="00242401">
      <w:pPr>
        <w:bidi/>
        <w:rPr>
          <w:rFonts w:ascii="Traditional Arabic" w:hAnsi="Traditional Arabic" w:cs="Traditional Arabic"/>
          <w:sz w:val="32"/>
          <w:szCs w:val="32"/>
          <w:rtl/>
        </w:rPr>
      </w:pPr>
    </w:p>
    <w:p w14:paraId="4C5C5EF9" w14:textId="26EBF189" w:rsidR="0011123F" w:rsidRPr="0011123F" w:rsidRDefault="00242401" w:rsidP="00242401">
      <w:pPr>
        <w:pStyle w:val="Lgende"/>
        <w:bidi/>
        <w:rPr>
          <w:sz w:val="32"/>
          <w:szCs w:val="32"/>
        </w:rPr>
      </w:pPr>
      <w:bookmarkStart w:id="45" w:name="_Toc231638595"/>
      <w:r>
        <w:rPr>
          <w:rtl/>
        </w:rPr>
        <w:lastRenderedPageBreak/>
        <w:t xml:space="preserve">الشكل رقم </w:t>
      </w:r>
      <w:r w:rsidR="009248E3">
        <w:fldChar w:fldCharType="begin"/>
      </w:r>
      <w:r w:rsidR="009248E3">
        <w:instrText xml:space="preserve"> SEQ </w:instrText>
      </w:r>
      <w:r w:rsidR="009248E3">
        <w:rPr>
          <w:rtl/>
        </w:rPr>
        <w:instrText>الش</w:instrText>
      </w:r>
      <w:r w:rsidR="009248E3">
        <w:rPr>
          <w:rtl/>
        </w:rPr>
        <w:instrText>كل_رقم</w:instrText>
      </w:r>
      <w:r w:rsidR="009248E3">
        <w:instrText xml:space="preserve"> \* ARABIC </w:instrText>
      </w:r>
      <w:r w:rsidR="009248E3">
        <w:fldChar w:fldCharType="separate"/>
      </w:r>
      <w:r w:rsidR="00317D7C">
        <w:rPr>
          <w:noProof/>
        </w:rPr>
        <w:t>8</w:t>
      </w:r>
      <w:r w:rsidR="009248E3">
        <w:rPr>
          <w:noProof/>
        </w:rPr>
        <w:fldChar w:fldCharType="end"/>
      </w:r>
      <w:r>
        <w:rPr>
          <w:noProof/>
          <w:lang w:val="fr-FR"/>
        </w:rPr>
        <w:t xml:space="preserve"> </w:t>
      </w:r>
      <w:r w:rsidRPr="00D552D7">
        <w:rPr>
          <w:noProof/>
          <w:rtl/>
          <w:lang w:val="fr-FR"/>
        </w:rPr>
        <w:t>مقارنة نسبة</w:t>
      </w:r>
      <w:r w:rsidRPr="00D552D7">
        <w:rPr>
          <w:noProof/>
          <w:lang w:val="fr-FR"/>
        </w:rPr>
        <w:t xml:space="preserve"> CAR </w:t>
      </w:r>
      <w:r w:rsidRPr="00D552D7">
        <w:rPr>
          <w:noProof/>
          <w:rtl/>
          <w:lang w:val="fr-FR"/>
        </w:rPr>
        <w:t>قبل التوريق وبعده</w:t>
      </w:r>
      <w:r w:rsidRPr="00D552D7">
        <w:rPr>
          <w:noProof/>
          <w:lang w:val="fr-FR"/>
        </w:rPr>
        <w:t xml:space="preserve"> (2019–2023)</w:t>
      </w:r>
      <w:bookmarkEnd w:id="45"/>
    </w:p>
    <w:p w14:paraId="0EB4492E" w14:textId="77777777" w:rsidR="0011123F" w:rsidRPr="0011123F" w:rsidRDefault="0011123F" w:rsidP="00540437">
      <w:pPr>
        <w:bidi/>
        <w:rPr>
          <w:rFonts w:ascii="Traditional Arabic" w:hAnsi="Traditional Arabic" w:cs="Traditional Arabic"/>
          <w:i/>
          <w:iCs/>
          <w:sz w:val="32"/>
          <w:szCs w:val="32"/>
          <w:rtl/>
        </w:rPr>
      </w:pPr>
      <w:r>
        <w:rPr>
          <w:rFonts w:ascii="Traditional Arabic" w:hAnsi="Traditional Arabic" w:cs="Traditional Arabic"/>
          <w:i/>
          <w:iCs/>
          <w:noProof/>
          <w:sz w:val="32"/>
          <w:szCs w:val="32"/>
        </w:rPr>
        <w:drawing>
          <wp:inline distT="0" distB="0" distL="0" distR="0" wp14:anchorId="72B6E697" wp14:editId="6DB926AA">
            <wp:extent cx="5760000" cy="3144374"/>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000" cy="3144374"/>
                    </a:xfrm>
                    <a:prstGeom prst="rect">
                      <a:avLst/>
                    </a:prstGeom>
                    <a:noFill/>
                  </pic:spPr>
                </pic:pic>
              </a:graphicData>
            </a:graphic>
          </wp:inline>
        </w:drawing>
      </w:r>
    </w:p>
    <w:p w14:paraId="35683191" w14:textId="00C89869" w:rsidR="0011123F" w:rsidRPr="007C492E" w:rsidRDefault="0011123F" w:rsidP="00540437">
      <w:pPr>
        <w:bidi/>
        <w:spacing w:after="0"/>
        <w:rPr>
          <w:rFonts w:ascii="Traditional Arabic" w:hAnsi="Traditional Arabic" w:cs="Traditional Arabic"/>
          <w:b/>
          <w:bCs/>
          <w:sz w:val="28"/>
          <w:szCs w:val="28"/>
        </w:rPr>
      </w:pPr>
      <w:r>
        <w:rPr>
          <w:rFonts w:ascii="Traditional Arabic" w:hAnsi="Traditional Arabic" w:cs="Traditional Arabic"/>
          <w:b/>
          <w:bCs/>
          <w:sz w:val="28"/>
          <w:szCs w:val="28"/>
          <w:rtl/>
        </w:rPr>
        <w:t>المصدر: من إع</w:t>
      </w:r>
      <w:r w:rsidR="004B1BB8">
        <w:rPr>
          <w:rFonts w:ascii="Traditional Arabic" w:hAnsi="Traditional Arabic" w:cs="Traditional Arabic"/>
          <w:b/>
          <w:bCs/>
          <w:sz w:val="28"/>
          <w:szCs w:val="28"/>
          <w:rtl/>
        </w:rPr>
        <w:t>داد الطالب</w:t>
      </w:r>
      <w:r>
        <w:rPr>
          <w:rFonts w:ascii="Traditional Arabic" w:hAnsi="Traditional Arabic" w:cs="Traditional Arabic"/>
          <w:b/>
          <w:bCs/>
          <w:sz w:val="28"/>
          <w:szCs w:val="28"/>
          <w:rtl/>
        </w:rPr>
        <w:t xml:space="preserve"> بناءً على التقارير السنوية للبنك الأهلي السعودي.</w:t>
      </w:r>
    </w:p>
    <w:p w14:paraId="794268EE" w14:textId="05ECBA03" w:rsidR="007C492E" w:rsidRDefault="002178C6" w:rsidP="00540437">
      <w:pPr>
        <w:pStyle w:val="Sansinterligne"/>
        <w:bidi/>
        <w:rPr>
          <w:rFonts w:ascii="Traditional Arabic" w:hAnsi="Traditional Arabic" w:cs="Traditional Arabic"/>
          <w:sz w:val="32"/>
          <w:szCs w:val="32"/>
        </w:rPr>
      </w:pPr>
      <w:bookmarkStart w:id="46" w:name="X9c79066006cec04920862a75454d310a7687b5f"/>
      <w:bookmarkEnd w:id="43"/>
      <w:r>
        <w:rPr>
          <w:rFonts w:ascii="Traditional Arabic" w:hAnsi="Traditional Arabic" w:cs="Traditional Arabic"/>
          <w:sz w:val="32"/>
          <w:szCs w:val="32"/>
          <w:rtl/>
        </w:rPr>
        <w:t>يُقدّم الشكل البياني رقم (7) تمثيلاً مرئياً ومقارناً يوضح الأثر التحسيني المباشر لآلية التوريق المالي على كفاية رأس المال</w:t>
      </w:r>
      <w:r>
        <w:rPr>
          <w:rFonts w:ascii="Traditional Arabic" w:hAnsi="Traditional Arabic" w:cs="Traditional Arabic"/>
          <w:sz w:val="32"/>
          <w:szCs w:val="32"/>
        </w:rPr>
        <w:t xml:space="preserve"> (CAR) </w:t>
      </w:r>
      <w:r>
        <w:rPr>
          <w:rFonts w:ascii="Traditional Arabic" w:hAnsi="Traditional Arabic" w:cs="Traditional Arabic"/>
          <w:sz w:val="32"/>
          <w:szCs w:val="32"/>
          <w:rtl/>
        </w:rPr>
        <w:t xml:space="preserve">للبنك الأهلي السعودي، مستعرضاً تباين النِسَب </w:t>
      </w:r>
      <w:proofErr w:type="spellStart"/>
      <w:r>
        <w:rPr>
          <w:rFonts w:ascii="Traditional Arabic" w:hAnsi="Traditional Arabic" w:cs="Traditional Arabic"/>
          <w:sz w:val="32"/>
          <w:szCs w:val="32"/>
          <w:rtl/>
        </w:rPr>
        <w:t>الملاءية</w:t>
      </w:r>
      <w:proofErr w:type="spellEnd"/>
      <w:r>
        <w:rPr>
          <w:rFonts w:ascii="Traditional Arabic" w:hAnsi="Traditional Arabic" w:cs="Traditional Arabic"/>
          <w:sz w:val="32"/>
          <w:szCs w:val="32"/>
          <w:rtl/>
        </w:rPr>
        <w:t xml:space="preserve"> قياساً بالحد الأدنى المقرّر دولياً بموجب اتفاقية بازل 3 والبالغ 10.5%. وتكشف القراءة التطورية للأعمدة البيانية عن قفزة نوعية في ملاءة البنك؛ فبعد أن استقرت النسبة عند 20% في عام 2019، شهدت مرحلة ما بعد الاندماج وتكثيف التوريق (عامي 2021 و2022) صعوداً متوازناً لتثبت عند مستوى 25%، مدفوعةً بنجاح البنك في تخفيف حجم الأصول المرجحة بالمخاطر</w:t>
      </w:r>
      <w:r>
        <w:rPr>
          <w:rFonts w:ascii="Traditional Arabic" w:hAnsi="Traditional Arabic" w:cs="Traditional Arabic"/>
          <w:sz w:val="32"/>
          <w:szCs w:val="32"/>
        </w:rPr>
        <w:t xml:space="preserve"> (RWA) </w:t>
      </w:r>
      <w:r>
        <w:rPr>
          <w:rFonts w:ascii="Traditional Arabic" w:hAnsi="Traditional Arabic" w:cs="Traditional Arabic"/>
          <w:sz w:val="32"/>
          <w:szCs w:val="32"/>
          <w:rtl/>
        </w:rPr>
        <w:t>وإخراجها من الميزانية العمومية. ويظهر الأثر الجوهري الهندسي للتوريق في ذروته عند نهاية السلسلة الزمنية عام 2023؛ حيث قفزت النسبة لتسجل 35% بعد التوريق، محققةً فائضاً أمانياً كبيراً وهامش تحوط واسع الصعود مقارنة بالنِسَب الافتراضية قبل تطبيق الآلية. وبناءً على هذه المعطيات التشغيلية، نستنتج أن استراتيجية التوريق قد وفرت دعامة رقابية صلبة مكنت البنك من تحرير طاقاته الرأسمالية المعطلة، والتحليق بمؤشرات ملاءته بعيداً فوق المتطلبات الإلزامية للبنك المركزي السعودي</w:t>
      </w:r>
      <w:r>
        <w:rPr>
          <w:rFonts w:ascii="Traditional Arabic" w:hAnsi="Traditional Arabic" w:cs="Traditional Arabic"/>
          <w:sz w:val="32"/>
          <w:szCs w:val="32"/>
        </w:rPr>
        <w:t xml:space="preserve"> (SAMA)</w:t>
      </w:r>
      <w:r>
        <w:rPr>
          <w:rFonts w:ascii="Traditional Arabic" w:hAnsi="Traditional Arabic" w:cs="Traditional Arabic"/>
          <w:sz w:val="32"/>
          <w:szCs w:val="32"/>
          <w:rtl/>
        </w:rPr>
        <w:t>، مما يمنح المؤسسة مرونة هيكلية فائقة للنمو والتوسع الائتماني المستقبلي دون التعرض لضغوط الرفع المالي المكلفة</w:t>
      </w:r>
      <w:r>
        <w:rPr>
          <w:rFonts w:ascii="Traditional Arabic" w:hAnsi="Traditional Arabic" w:cs="Traditional Arabic"/>
          <w:sz w:val="32"/>
          <w:szCs w:val="32"/>
        </w:rPr>
        <w:t>.</w:t>
      </w:r>
    </w:p>
    <w:p w14:paraId="65A8ACBA" w14:textId="12F738C9" w:rsidR="00242401" w:rsidRDefault="00242401" w:rsidP="00242401">
      <w:pPr>
        <w:pStyle w:val="Sansinterligne"/>
        <w:bidi/>
        <w:rPr>
          <w:rFonts w:ascii="Traditional Arabic" w:hAnsi="Traditional Arabic" w:cs="Traditional Arabic"/>
          <w:sz w:val="32"/>
          <w:szCs w:val="32"/>
        </w:rPr>
      </w:pPr>
    </w:p>
    <w:p w14:paraId="314A28FF" w14:textId="05139E66" w:rsidR="00242401" w:rsidRDefault="00242401" w:rsidP="00242401">
      <w:pPr>
        <w:pStyle w:val="Sansinterligne"/>
        <w:bidi/>
        <w:rPr>
          <w:rFonts w:ascii="Traditional Arabic" w:hAnsi="Traditional Arabic" w:cs="Traditional Arabic"/>
          <w:sz w:val="32"/>
          <w:szCs w:val="32"/>
        </w:rPr>
      </w:pPr>
    </w:p>
    <w:p w14:paraId="5CB067C6" w14:textId="768A0406" w:rsidR="00242401" w:rsidRDefault="00242401" w:rsidP="00242401">
      <w:pPr>
        <w:pStyle w:val="Sansinterligne"/>
        <w:bidi/>
        <w:rPr>
          <w:rFonts w:ascii="Traditional Arabic" w:hAnsi="Traditional Arabic" w:cs="Traditional Arabic"/>
          <w:sz w:val="32"/>
          <w:szCs w:val="32"/>
        </w:rPr>
      </w:pPr>
    </w:p>
    <w:p w14:paraId="27C94601" w14:textId="77777777" w:rsidR="00242401" w:rsidRPr="002178C6" w:rsidRDefault="00242401" w:rsidP="00242401">
      <w:pPr>
        <w:pStyle w:val="Sansinterligne"/>
        <w:bidi/>
        <w:rPr>
          <w:rFonts w:ascii="Traditional Arabic" w:hAnsi="Traditional Arabic" w:cs="Traditional Arabic"/>
          <w:sz w:val="32"/>
          <w:szCs w:val="32"/>
          <w:rtl/>
        </w:rPr>
      </w:pPr>
    </w:p>
    <w:p w14:paraId="03C069D3" w14:textId="77777777" w:rsidR="0011123F" w:rsidRPr="007C492E" w:rsidRDefault="0011123F" w:rsidP="00540437">
      <w:pPr>
        <w:pStyle w:val="Sansinterligne"/>
        <w:bidi/>
        <w:rPr>
          <w:rFonts w:ascii="Traditional Arabic" w:hAnsi="Traditional Arabic" w:cs="Traditional Arabic"/>
          <w:b/>
          <w:bCs/>
          <w:sz w:val="32"/>
          <w:szCs w:val="32"/>
        </w:rPr>
      </w:pPr>
      <w:r>
        <w:rPr>
          <w:rFonts w:ascii="Traditional Arabic" w:hAnsi="Traditional Arabic" w:cs="Traditional Arabic"/>
          <w:b/>
          <w:bCs/>
          <w:sz w:val="32"/>
          <w:szCs w:val="32"/>
          <w:rtl/>
        </w:rPr>
        <w:lastRenderedPageBreak/>
        <w:t>ثانياً: ملخص المكاسب الاستراتيجية من التوريق</w:t>
      </w:r>
    </w:p>
    <w:p w14:paraId="07A884C5" w14:textId="23190FE0" w:rsidR="0011123F" w:rsidRPr="0011123F" w:rsidRDefault="00242401" w:rsidP="00242401">
      <w:pPr>
        <w:pStyle w:val="Lgende"/>
        <w:bidi/>
        <w:rPr>
          <w:sz w:val="32"/>
          <w:szCs w:val="32"/>
        </w:rPr>
      </w:pPr>
      <w:bookmarkStart w:id="47" w:name="_Toc231638656"/>
      <w:r>
        <w:rPr>
          <w:rtl/>
        </w:rPr>
        <w:t xml:space="preserve">جدول رقم </w:t>
      </w:r>
      <w:r w:rsidR="009248E3">
        <w:fldChar w:fldCharType="begin"/>
      </w:r>
      <w:r w:rsidR="009248E3">
        <w:instrText xml:space="preserve"> SEQ </w:instrText>
      </w:r>
      <w:r w:rsidR="009248E3">
        <w:rPr>
          <w:rtl/>
        </w:rPr>
        <w:instrText>جدول_رقم</w:instrText>
      </w:r>
      <w:r w:rsidR="009248E3">
        <w:instrText xml:space="preserve"> \* ARABIC </w:instrText>
      </w:r>
      <w:r w:rsidR="009248E3">
        <w:fldChar w:fldCharType="separate"/>
      </w:r>
      <w:r w:rsidR="00317D7C">
        <w:rPr>
          <w:noProof/>
        </w:rPr>
        <w:t>13</w:t>
      </w:r>
      <w:r w:rsidR="009248E3">
        <w:rPr>
          <w:noProof/>
        </w:rPr>
        <w:fldChar w:fldCharType="end"/>
      </w:r>
      <w:r>
        <w:rPr>
          <w:noProof/>
          <w:lang w:val="fr-FR"/>
        </w:rPr>
        <w:t xml:space="preserve"> </w:t>
      </w:r>
      <w:r w:rsidRPr="000E2B6D">
        <w:rPr>
          <w:noProof/>
          <w:rtl/>
          <w:lang w:val="fr-FR"/>
        </w:rPr>
        <w:t>ملخص المكاسب الاستراتيجية للبنك الأهلي السعودي من التوريق</w:t>
      </w:r>
      <w:r w:rsidRPr="000E2B6D">
        <w:rPr>
          <w:noProof/>
          <w:lang w:val="fr-FR"/>
        </w:rPr>
        <w:t xml:space="preserve"> (2019–2023)</w:t>
      </w:r>
      <w:bookmarkEnd w:id="47"/>
    </w:p>
    <w:tbl>
      <w:tblPr>
        <w:tblStyle w:val="Grilledutableau"/>
        <w:bidiVisual/>
        <w:tblW w:w="5000" w:type="pct"/>
        <w:tblLayout w:type="fixed"/>
        <w:tblLook w:val="0020" w:firstRow="1" w:lastRow="0" w:firstColumn="0" w:lastColumn="0" w:noHBand="0" w:noVBand="0"/>
      </w:tblPr>
      <w:tblGrid>
        <w:gridCol w:w="1725"/>
        <w:gridCol w:w="4100"/>
        <w:gridCol w:w="3237"/>
      </w:tblGrid>
      <w:tr w:rsidR="0011123F" w:rsidRPr="0011123F" w14:paraId="6BC4F4CB" w14:textId="77777777" w:rsidTr="0011123F">
        <w:tc>
          <w:tcPr>
            <w:tcW w:w="1508" w:type="dxa"/>
          </w:tcPr>
          <w:p w14:paraId="66FA271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المجال</w:t>
            </w:r>
          </w:p>
        </w:tc>
        <w:tc>
          <w:tcPr>
            <w:tcW w:w="3582" w:type="dxa"/>
          </w:tcPr>
          <w:p w14:paraId="25BBBAE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المكسب الاستراتيجي</w:t>
            </w:r>
          </w:p>
        </w:tc>
        <w:tc>
          <w:tcPr>
            <w:tcW w:w="2828" w:type="dxa"/>
          </w:tcPr>
          <w:p w14:paraId="2DFD5C2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التقدير الكمّي</w:t>
            </w:r>
          </w:p>
        </w:tc>
      </w:tr>
      <w:tr w:rsidR="0011123F" w:rsidRPr="0011123F" w14:paraId="1F08C755" w14:textId="77777777" w:rsidTr="0011123F">
        <w:tc>
          <w:tcPr>
            <w:tcW w:w="1508" w:type="dxa"/>
          </w:tcPr>
          <w:p w14:paraId="7DF00B8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إدارة مخاطر الائتمان</w:t>
            </w:r>
          </w:p>
        </w:tc>
        <w:tc>
          <w:tcPr>
            <w:tcW w:w="3582" w:type="dxa"/>
          </w:tcPr>
          <w:p w14:paraId="7CF71693"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تراجع نسبة الديون المتعثرة</w:t>
            </w:r>
          </w:p>
        </w:tc>
        <w:tc>
          <w:tcPr>
            <w:tcW w:w="2828" w:type="dxa"/>
          </w:tcPr>
          <w:p w14:paraId="2E2A1232"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من 2.8% إلى 2.1% (</w:t>
            </w:r>
            <w:r>
              <w:rPr>
                <w:rFonts w:ascii="Times New Roman" w:hAnsi="Times New Roman" w:cs="Times New Roman" w:hint="cs"/>
                <w:sz w:val="32"/>
                <w:szCs w:val="32"/>
                <w:rtl/>
              </w:rPr>
              <w:t>↓</w:t>
            </w:r>
            <w:r>
              <w:rPr>
                <w:rFonts w:ascii="Traditional Arabic" w:hAnsi="Traditional Arabic" w:cs="Traditional Arabic"/>
                <w:sz w:val="32"/>
                <w:szCs w:val="32"/>
                <w:rtl/>
              </w:rPr>
              <w:t xml:space="preserve"> 25%)</w:t>
            </w:r>
          </w:p>
        </w:tc>
      </w:tr>
      <w:tr w:rsidR="0011123F" w:rsidRPr="0011123F" w14:paraId="2A77B927" w14:textId="77777777" w:rsidTr="0011123F">
        <w:tc>
          <w:tcPr>
            <w:tcW w:w="1508" w:type="dxa"/>
          </w:tcPr>
          <w:p w14:paraId="2ED3C014"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إدارة مخاطر السيولة</w:t>
            </w:r>
          </w:p>
        </w:tc>
        <w:tc>
          <w:tcPr>
            <w:tcW w:w="3582" w:type="dxa"/>
          </w:tcPr>
          <w:p w14:paraId="0C7C7B96"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تحسّن LCR</w:t>
            </w:r>
          </w:p>
        </w:tc>
        <w:tc>
          <w:tcPr>
            <w:tcW w:w="2828" w:type="dxa"/>
          </w:tcPr>
          <w:p w14:paraId="1E9DE57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من 118% إلى 156% (+38 نقطة)</w:t>
            </w:r>
          </w:p>
        </w:tc>
      </w:tr>
      <w:tr w:rsidR="0011123F" w:rsidRPr="0011123F" w14:paraId="417B2F07" w14:textId="77777777" w:rsidTr="0011123F">
        <w:tc>
          <w:tcPr>
            <w:tcW w:w="1508" w:type="dxa"/>
          </w:tcPr>
          <w:p w14:paraId="4E06E13D"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فجوة آجال الاستحقاق</w:t>
            </w:r>
          </w:p>
        </w:tc>
        <w:tc>
          <w:tcPr>
            <w:tcW w:w="3582" w:type="dxa"/>
          </w:tcPr>
          <w:p w14:paraId="78FBB35A"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تقليص الفجوة</w:t>
            </w:r>
          </w:p>
        </w:tc>
        <w:tc>
          <w:tcPr>
            <w:tcW w:w="2828" w:type="dxa"/>
          </w:tcPr>
          <w:p w14:paraId="6B1C8DDC"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من 6.1 سنة إلى 3.6 سنة (</w:t>
            </w:r>
            <w:r>
              <w:rPr>
                <w:rFonts w:ascii="Times New Roman" w:hAnsi="Times New Roman" w:cs="Times New Roman" w:hint="cs"/>
                <w:sz w:val="32"/>
                <w:szCs w:val="32"/>
                <w:rtl/>
              </w:rPr>
              <w:t>↓</w:t>
            </w:r>
            <w:r>
              <w:rPr>
                <w:rFonts w:ascii="Traditional Arabic" w:hAnsi="Traditional Arabic" w:cs="Traditional Arabic"/>
                <w:sz w:val="32"/>
                <w:szCs w:val="32"/>
                <w:rtl/>
              </w:rPr>
              <w:t xml:space="preserve"> 41%)</w:t>
            </w:r>
          </w:p>
        </w:tc>
      </w:tr>
      <w:tr w:rsidR="0011123F" w:rsidRPr="0011123F" w14:paraId="24600BB2" w14:textId="77777777" w:rsidTr="0011123F">
        <w:tc>
          <w:tcPr>
            <w:tcW w:w="1508" w:type="dxa"/>
          </w:tcPr>
          <w:p w14:paraId="2DC7EDF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كفاية رأس المال</w:t>
            </w:r>
          </w:p>
        </w:tc>
        <w:tc>
          <w:tcPr>
            <w:tcW w:w="3582" w:type="dxa"/>
          </w:tcPr>
          <w:p w14:paraId="6A0209EE"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رفع نسبة CAR</w:t>
            </w:r>
          </w:p>
        </w:tc>
        <w:tc>
          <w:tcPr>
            <w:tcW w:w="2828" w:type="dxa"/>
          </w:tcPr>
          <w:p w14:paraId="6B43D57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كسب إضافي 5.9 نقطة مئوية</w:t>
            </w:r>
          </w:p>
        </w:tc>
      </w:tr>
      <w:tr w:rsidR="0011123F" w:rsidRPr="0011123F" w14:paraId="22FE3423" w14:textId="77777777" w:rsidTr="0011123F">
        <w:tc>
          <w:tcPr>
            <w:tcW w:w="1508" w:type="dxa"/>
          </w:tcPr>
          <w:p w14:paraId="13AD759F"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تكلفة التمويل</w:t>
            </w:r>
          </w:p>
        </w:tc>
        <w:tc>
          <w:tcPr>
            <w:tcW w:w="3582" w:type="dxa"/>
          </w:tcPr>
          <w:p w14:paraId="008612F5"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توفير في هامش التكلفة</w:t>
            </w:r>
          </w:p>
        </w:tc>
        <w:tc>
          <w:tcPr>
            <w:tcW w:w="2828" w:type="dxa"/>
          </w:tcPr>
          <w:p w14:paraId="3291EB5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0.9% سنوياً على المبالغ الموّرقة</w:t>
            </w:r>
          </w:p>
        </w:tc>
      </w:tr>
      <w:tr w:rsidR="0011123F" w:rsidRPr="0011123F" w14:paraId="7E25D369" w14:textId="77777777" w:rsidTr="0011123F">
        <w:tc>
          <w:tcPr>
            <w:tcW w:w="1508" w:type="dxa"/>
          </w:tcPr>
          <w:p w14:paraId="0D22E54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توسيع طاقة الإقراض</w:t>
            </w:r>
          </w:p>
        </w:tc>
        <w:tc>
          <w:tcPr>
            <w:tcW w:w="3582" w:type="dxa"/>
          </w:tcPr>
          <w:p w14:paraId="0EC31D6B"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سيولة إضافية للتمويل</w:t>
            </w:r>
          </w:p>
        </w:tc>
        <w:tc>
          <w:tcPr>
            <w:tcW w:w="2828" w:type="dxa"/>
          </w:tcPr>
          <w:p w14:paraId="6E4C3F50"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30 مليار ريال تمويل جديد</w:t>
            </w:r>
          </w:p>
        </w:tc>
      </w:tr>
      <w:tr w:rsidR="0011123F" w:rsidRPr="0011123F" w14:paraId="24280C6D" w14:textId="77777777" w:rsidTr="0011123F">
        <w:tc>
          <w:tcPr>
            <w:tcW w:w="1508" w:type="dxa"/>
          </w:tcPr>
          <w:p w14:paraId="0C2C6898"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الامتثال لبازل 3</w:t>
            </w:r>
          </w:p>
        </w:tc>
        <w:tc>
          <w:tcPr>
            <w:tcW w:w="3582" w:type="dxa"/>
          </w:tcPr>
          <w:p w14:paraId="1EB55607"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تخفيض RWA</w:t>
            </w:r>
          </w:p>
        </w:tc>
        <w:tc>
          <w:tcPr>
            <w:tcW w:w="2828" w:type="dxa"/>
          </w:tcPr>
          <w:p w14:paraId="2DB216F9" w14:textId="77777777" w:rsidR="0011123F" w:rsidRPr="0011123F" w:rsidRDefault="0011123F" w:rsidP="00540437">
            <w:pPr>
              <w:bidi/>
              <w:rPr>
                <w:rFonts w:ascii="Traditional Arabic" w:hAnsi="Traditional Arabic" w:cs="Traditional Arabic"/>
                <w:sz w:val="32"/>
                <w:szCs w:val="32"/>
              </w:rPr>
            </w:pPr>
            <w:r>
              <w:rPr>
                <w:rFonts w:ascii="Traditional Arabic" w:hAnsi="Traditional Arabic" w:cs="Traditional Arabic"/>
                <w:sz w:val="32"/>
                <w:szCs w:val="32"/>
                <w:rtl/>
              </w:rPr>
              <w:t>من 412 إلى 385 مليار ريال (</w:t>
            </w:r>
            <w:r>
              <w:rPr>
                <w:rFonts w:ascii="Times New Roman" w:hAnsi="Times New Roman" w:cs="Times New Roman" w:hint="cs"/>
                <w:sz w:val="32"/>
                <w:szCs w:val="32"/>
                <w:rtl/>
              </w:rPr>
              <w:t>↓</w:t>
            </w:r>
            <w:r>
              <w:rPr>
                <w:rFonts w:ascii="Traditional Arabic" w:hAnsi="Traditional Arabic" w:cs="Traditional Arabic"/>
                <w:sz w:val="32"/>
                <w:szCs w:val="32"/>
                <w:rtl/>
              </w:rPr>
              <w:t xml:space="preserve"> 6.6%)</w:t>
            </w:r>
          </w:p>
        </w:tc>
      </w:tr>
    </w:tbl>
    <w:p w14:paraId="2F716D64" w14:textId="4A14D729" w:rsidR="0011123F" w:rsidRPr="007C492E" w:rsidRDefault="0011123F" w:rsidP="00540437">
      <w:pPr>
        <w:bidi/>
        <w:spacing w:after="0" w:line="240" w:lineRule="auto"/>
        <w:rPr>
          <w:rFonts w:ascii="Traditional Arabic" w:hAnsi="Traditional Arabic" w:cs="Traditional Arabic"/>
          <w:b/>
          <w:bCs/>
          <w:sz w:val="28"/>
          <w:szCs w:val="28"/>
        </w:rPr>
      </w:pPr>
      <w:r>
        <w:rPr>
          <w:rFonts w:ascii="Traditional Arabic" w:hAnsi="Traditional Arabic" w:cs="Traditional Arabic"/>
          <w:b/>
          <w:bCs/>
          <w:sz w:val="28"/>
          <w:szCs w:val="28"/>
          <w:rtl/>
        </w:rPr>
        <w:t>المصدر: من إع</w:t>
      </w:r>
      <w:r w:rsidR="004B1BB8">
        <w:rPr>
          <w:rFonts w:ascii="Traditional Arabic" w:hAnsi="Traditional Arabic" w:cs="Traditional Arabic"/>
          <w:b/>
          <w:bCs/>
          <w:sz w:val="28"/>
          <w:szCs w:val="28"/>
          <w:rtl/>
        </w:rPr>
        <w:t>داد الطالب</w:t>
      </w:r>
      <w:r>
        <w:rPr>
          <w:rFonts w:ascii="Traditional Arabic" w:hAnsi="Traditional Arabic" w:cs="Traditional Arabic"/>
          <w:b/>
          <w:bCs/>
          <w:sz w:val="28"/>
          <w:szCs w:val="28"/>
          <w:rtl/>
        </w:rPr>
        <w:t xml:space="preserve"> بالاستناد إلى التقارير السنوية للبنك الأهلي السعودي 2019–2023؛ مراد، 2020؛ </w:t>
      </w:r>
      <w:proofErr w:type="spellStart"/>
      <w:r>
        <w:rPr>
          <w:rFonts w:ascii="Traditional Arabic" w:hAnsi="Traditional Arabic" w:cs="Traditional Arabic"/>
          <w:b/>
          <w:bCs/>
          <w:sz w:val="28"/>
          <w:szCs w:val="28"/>
          <w:rtl/>
        </w:rPr>
        <w:t>الجلنابي</w:t>
      </w:r>
      <w:proofErr w:type="spellEnd"/>
      <w:r>
        <w:rPr>
          <w:rFonts w:ascii="Traditional Arabic" w:hAnsi="Traditional Arabic" w:cs="Traditional Arabic"/>
          <w:b/>
          <w:bCs/>
          <w:sz w:val="28"/>
          <w:szCs w:val="28"/>
          <w:rtl/>
        </w:rPr>
        <w:t>، 2021.</w:t>
      </w:r>
    </w:p>
    <w:p w14:paraId="2D7E6D38" w14:textId="77777777" w:rsidR="0011123F" w:rsidRPr="0011123F" w:rsidRDefault="002178C6" w:rsidP="00540437">
      <w:pPr>
        <w:pStyle w:val="Titre2"/>
        <w:bidi/>
        <w:spacing w:before="0" w:beforeAutospacing="0" w:after="0" w:afterAutospacing="0"/>
        <w:rPr>
          <w:rFonts w:ascii="Traditional Arabic" w:hAnsi="Traditional Arabic" w:cs="Traditional Arabic"/>
          <w:sz w:val="32"/>
          <w:szCs w:val="32"/>
          <w:rtl/>
        </w:rPr>
        <w:sectPr w:rsidR="0011123F" w:rsidRPr="0011123F" w:rsidSect="009F79D5">
          <w:pgSz w:w="11906" w:h="16838"/>
          <w:pgMar w:top="1417" w:right="1417" w:bottom="1417" w:left="1417" w:header="708" w:footer="708" w:gutter="0"/>
          <w:cols w:space="708"/>
          <w:docGrid w:linePitch="360"/>
        </w:sectPr>
      </w:pPr>
      <w:bookmarkStart w:id="48" w:name="الخاتمة"/>
      <w:bookmarkEnd w:id="33"/>
      <w:bookmarkEnd w:id="42"/>
      <w:bookmarkEnd w:id="46"/>
      <w:r>
        <w:rPr>
          <w:rFonts w:ascii="Traditional Arabic" w:hAnsi="Traditional Arabic" w:cs="Traditional Arabic"/>
          <w:b w:val="0"/>
          <w:bCs w:val="0"/>
          <w:sz w:val="32"/>
          <w:szCs w:val="32"/>
          <w:rtl/>
        </w:rPr>
        <w:t>يُمثل الجدول رقم (12) خلاصة إحصائية وتقييمية شاملة للمكاسب الاستراتيجية المتكاملة التي جناها البنك الأهلي السعودي من توظيف آلية التوريق المالي خلال الفترة (2019–2023)، مبرهناً على الأثر الإيجابي متعدد الأبعاد للهندسة المالية على مستويات الأمان المالي، والتحوط الرقابي، والتوسع التشغيلي. ففي شق إدارة مخاطر الائتمان، أسفر التوريق عن تحسين جودة الأصول عبر تطهير الميزانية وتراجع نسبة الديون المتعثرة</w:t>
      </w:r>
      <w:r>
        <w:rPr>
          <w:rFonts w:ascii="Traditional Arabic" w:hAnsi="Traditional Arabic" w:cs="Traditional Arabic"/>
          <w:b w:val="0"/>
          <w:bCs w:val="0"/>
          <w:sz w:val="32"/>
          <w:szCs w:val="32"/>
        </w:rPr>
        <w:t xml:space="preserve"> (%NPL) </w:t>
      </w:r>
      <w:r>
        <w:rPr>
          <w:rFonts w:ascii="Traditional Arabic" w:hAnsi="Traditional Arabic" w:cs="Traditional Arabic"/>
          <w:b w:val="0"/>
          <w:bCs w:val="0"/>
          <w:sz w:val="32"/>
          <w:szCs w:val="32"/>
          <w:rtl/>
        </w:rPr>
        <w:t>من 2.8% إلى 2.1% (بنسبة انخفاض بلغت 25%). وتكامل هذا التحسن مع قفزة نوعية في مؤشرات الامتثال والسيولة؛ حيث تحسنت نسبة تغطية السيولة</w:t>
      </w:r>
      <w:r>
        <w:rPr>
          <w:rFonts w:ascii="Traditional Arabic" w:hAnsi="Traditional Arabic" w:cs="Traditional Arabic"/>
          <w:b w:val="0"/>
          <w:bCs w:val="0"/>
          <w:sz w:val="32"/>
          <w:szCs w:val="32"/>
        </w:rPr>
        <w:t xml:space="preserve"> (LCR) </w:t>
      </w:r>
      <w:r>
        <w:rPr>
          <w:rFonts w:ascii="Traditional Arabic" w:hAnsi="Traditional Arabic" w:cs="Traditional Arabic"/>
          <w:b w:val="0"/>
          <w:bCs w:val="0"/>
          <w:sz w:val="32"/>
          <w:szCs w:val="32"/>
          <w:rtl/>
        </w:rPr>
        <w:t xml:space="preserve">بمقدار </w:t>
      </w:r>
      <w:r>
        <w:rPr>
          <w:rFonts w:ascii="Traditional Arabic" w:hAnsi="Traditional Arabic" w:cs="Traditional Arabic"/>
          <w:b w:val="0"/>
          <w:bCs w:val="0"/>
          <w:sz w:val="32"/>
          <w:szCs w:val="32"/>
        </w:rPr>
        <w:t xml:space="preserve">+38 </w:t>
      </w:r>
      <w:r>
        <w:rPr>
          <w:rFonts w:ascii="Traditional Arabic" w:hAnsi="Traditional Arabic" w:cs="Traditional Arabic"/>
          <w:b w:val="0"/>
          <w:bCs w:val="0"/>
          <w:sz w:val="32"/>
          <w:szCs w:val="32"/>
          <w:rtl/>
        </w:rPr>
        <w:t>نقطة مئوية لترتفع من 118% إلى 156% نتيجة التدفقات النقدية السريعة المتولدة عن تسييل الأصول، مدعومةً بتقليص فجوة آجال الاستحقاق البنيوية بنسبة 41% (من 6.1 إلى 3.6 سنة) لإعادة التوازن الزمني للمركز المالي. وعلاوة على ذلك، حققت الاستراتيجية كفاءة مالية وتنظيمية بالغة الأهمية تمثلت في كسب إضافي لنسبة كفاية رأس المال</w:t>
      </w:r>
      <w:r>
        <w:rPr>
          <w:rFonts w:ascii="Traditional Arabic" w:hAnsi="Traditional Arabic" w:cs="Traditional Arabic"/>
          <w:b w:val="0"/>
          <w:bCs w:val="0"/>
          <w:sz w:val="32"/>
          <w:szCs w:val="32"/>
        </w:rPr>
        <w:t xml:space="preserve"> ($CAR$) </w:t>
      </w:r>
      <w:r>
        <w:rPr>
          <w:rFonts w:ascii="Traditional Arabic" w:hAnsi="Traditional Arabic" w:cs="Traditional Arabic"/>
          <w:b w:val="0"/>
          <w:bCs w:val="0"/>
          <w:sz w:val="32"/>
          <w:szCs w:val="32"/>
          <w:rtl/>
        </w:rPr>
        <w:t>بمقدار 5.9 نقطة مئوية، مستفيدةً من تخفيض الأصول المرجحة بالمخاطر</w:t>
      </w:r>
      <w:r>
        <w:rPr>
          <w:rFonts w:ascii="Traditional Arabic" w:hAnsi="Traditional Arabic" w:cs="Traditional Arabic"/>
          <w:b w:val="0"/>
          <w:bCs w:val="0"/>
          <w:sz w:val="32"/>
          <w:szCs w:val="32"/>
        </w:rPr>
        <w:t xml:space="preserve"> ($RWA$) </w:t>
      </w:r>
      <w:r>
        <w:rPr>
          <w:rFonts w:ascii="Traditional Arabic" w:hAnsi="Traditional Arabic" w:cs="Traditional Arabic"/>
          <w:b w:val="0"/>
          <w:bCs w:val="0"/>
          <w:sz w:val="32"/>
          <w:szCs w:val="32"/>
          <w:rtl/>
        </w:rPr>
        <w:t xml:space="preserve">من 412 مليار إلى 385 مليار ريال (بنسبة هبوط تناهز 6.6%)، وهو ما أتاح طرح أوراق مالية منخفضة الكلفة وفرت عائداً </w:t>
      </w:r>
      <w:r>
        <w:rPr>
          <w:rFonts w:ascii="Traditional Arabic" w:hAnsi="Traditional Arabic" w:cs="Traditional Arabic"/>
          <w:b w:val="0"/>
          <w:bCs w:val="0"/>
          <w:sz w:val="32"/>
          <w:szCs w:val="32"/>
          <w:rtl/>
        </w:rPr>
        <w:lastRenderedPageBreak/>
        <w:t>هامشياً سنوياً بنسبة 0.9% على المبالغ الموَّرقة قياساً بالقنوات التقليدية. وتُوّجت هذه المنظومة بتوسيع طاقة الإقراض عبر ضخ سيولة تمويلية إضافية بلغت 30 مليار ريال سعودي كتمويل جديد يدعم الأهداف التوسعية للمؤسسة. وبناءً على هذه الحصيلة الختامية، نستنتج أن التوريق المالي في البنك الأهلي السعودي قد تجاوز مفهوم الأداة التمويلية العابرة، ليشكل نموذجاً استراتيجياً متكاملاً نجح في تحقيق التوازن بين متطلبات الربحية الاقتصادية، وضوابط الامتثال لمقررات بازل 3، والتحوط المالي المستدام</w:t>
      </w:r>
      <w:r>
        <w:rPr>
          <w:rFonts w:ascii="Traditional Arabic" w:hAnsi="Traditional Arabic" w:cs="Traditional Arabic"/>
          <w:sz w:val="32"/>
          <w:szCs w:val="32"/>
        </w:rPr>
        <w:t>.</w:t>
      </w:r>
    </w:p>
    <w:p w14:paraId="6630D9A7"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b/>
          <w:bCs/>
          <w:sz w:val="32"/>
          <w:szCs w:val="32"/>
          <w:rtl/>
        </w:rPr>
      </w:pPr>
      <w:bookmarkStart w:id="49" w:name="الخاتمة-العامة"/>
      <w:bookmarkEnd w:id="6"/>
      <w:bookmarkEnd w:id="7"/>
      <w:bookmarkEnd w:id="8"/>
      <w:bookmarkEnd w:id="48"/>
    </w:p>
    <w:p w14:paraId="7B1AD37A"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4F2FDA2B"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79D17E5B"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74E967FC"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3947235C"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b/>
          <w:bCs/>
          <w:sz w:val="32"/>
          <w:szCs w:val="32"/>
          <w:rtl/>
        </w:rPr>
      </w:pPr>
    </w:p>
    <w:p w14:paraId="79246127" w14:textId="77777777" w:rsidR="006A1F7A" w:rsidRDefault="006A1F7A" w:rsidP="00540437">
      <w:pPr>
        <w:bidi/>
        <w:spacing w:before="100" w:beforeAutospacing="1" w:after="100" w:afterAutospacing="1" w:line="240" w:lineRule="auto"/>
        <w:jc w:val="center"/>
        <w:rPr>
          <w:rFonts w:ascii="Traditional Arabic" w:eastAsia="Times New Roman" w:hAnsi="Traditional Arabic" w:cs="Traditional Arabic"/>
          <w:b/>
          <w:bCs/>
          <w:sz w:val="200"/>
          <w:szCs w:val="200"/>
          <w:rtl/>
        </w:rPr>
        <w:sectPr w:rsidR="006A1F7A" w:rsidSect="009F79D5">
          <w:headerReference w:type="default" r:id="rId38"/>
          <w:footerReference w:type="default" r:id="rId39"/>
          <w:pgSz w:w="11906" w:h="16838"/>
          <w:pgMar w:top="1417" w:right="1417" w:bottom="1417" w:left="1417" w:header="708" w:footer="708" w:gutter="0"/>
          <w:cols w:space="708"/>
          <w:docGrid w:linePitch="360"/>
        </w:sectPr>
      </w:pPr>
      <w:r>
        <w:rPr>
          <w:rFonts w:ascii="Traditional Arabic" w:eastAsia="Times New Roman" w:hAnsi="Traditional Arabic" w:cs="Traditional Arabic" w:hint="cs"/>
          <w:b/>
          <w:bCs/>
          <w:sz w:val="200"/>
          <w:szCs w:val="200"/>
          <w:rtl/>
        </w:rPr>
        <w:t xml:space="preserve">الخاتمة </w:t>
      </w:r>
    </w:p>
    <w:p w14:paraId="03B0021E" w14:textId="77777777" w:rsidR="00A84008" w:rsidRDefault="00A84008" w:rsidP="00540437">
      <w:pPr>
        <w:pStyle w:val="Titre2"/>
        <w:bidi/>
        <w:spacing w:before="0" w:beforeAutospacing="0" w:after="0" w:afterAutospacing="0"/>
        <w:rPr>
          <w:rFonts w:ascii="Traditional Arabic" w:hAnsi="Traditional Arabic" w:cs="Traditional Arabic"/>
          <w:rtl/>
        </w:rPr>
      </w:pPr>
      <w:r>
        <w:rPr>
          <w:rFonts w:ascii="Traditional Arabic" w:hAnsi="Traditional Arabic" w:cs="Traditional Arabic"/>
          <w:rtl/>
        </w:rPr>
        <w:lastRenderedPageBreak/>
        <w:t>الخاتمة</w:t>
      </w:r>
    </w:p>
    <w:p w14:paraId="124DF093" w14:textId="77777777" w:rsidR="00524B6F" w:rsidRPr="003B30B5" w:rsidRDefault="00570A83" w:rsidP="00540437">
      <w:pPr>
        <w:pStyle w:val="Titre3"/>
        <w:bidi/>
        <w:spacing w:before="0" w:beforeAutospacing="0" w:after="0" w:afterAutospacing="0"/>
        <w:ind w:firstLine="720"/>
        <w:rPr>
          <w:rFonts w:ascii="Traditional Arabic" w:hAnsi="Traditional Arabic" w:cs="Traditional Arabic"/>
          <w:b w:val="0"/>
          <w:bCs w:val="0"/>
          <w:sz w:val="32"/>
          <w:szCs w:val="32"/>
        </w:rPr>
      </w:pPr>
      <w:bookmarkStart w:id="50" w:name="أولا-النتائج"/>
      <w:r>
        <w:rPr>
          <w:rFonts w:ascii="Traditional Arabic" w:hAnsi="Traditional Arabic" w:cs="Traditional Arabic"/>
          <w:b w:val="0"/>
          <w:bCs w:val="0"/>
          <w:sz w:val="32"/>
          <w:szCs w:val="32"/>
          <w:rtl/>
        </w:rPr>
        <w:t>بعد التطرق إلى الإطار النظري للتوريق ومختلف جوانبه المفاهيمية، وتحليل دوره في إدارة المخاطر المصرفية، والوقوف عند التجربة التطبيقية للبنك الأهلي السعودي، يمكن القول إنّ التوريق يُعدّ بالفعل إحدى أهم الأدوات المالية الحديثة التي أحدثت نقلة نوعية في كيفية تعامل البنوك مع مخاطرها. إذ أثبتت الدراسة أن هذا النظام، عند تطبيقه وفق معايير دقيقة، يساهم في إعادة هيكلة المحافظ الائتمانية، وتحسين جودة الأصول، ورفع مستويات السيولة، وتخفيف الضغط على رأس المال، وهو ما يجعل منه عنصرًا محوريًا في المنظومات المصرفية التي تسعى نحو تعزيز استقرارها وتحسين قدرتها على الصمود أمام التقلبات الاقتصادية</w:t>
      </w:r>
      <w:r>
        <w:rPr>
          <w:rFonts w:ascii="Traditional Arabic" w:hAnsi="Traditional Arabic" w:cs="Traditional Arabic"/>
          <w:b w:val="0"/>
          <w:bCs w:val="0"/>
          <w:sz w:val="32"/>
          <w:szCs w:val="32"/>
        </w:rPr>
        <w:t>.</w:t>
      </w:r>
    </w:p>
    <w:p w14:paraId="5312E94E" w14:textId="77777777" w:rsidR="00524B6F" w:rsidRPr="003B30B5" w:rsidRDefault="00570A83" w:rsidP="00540437">
      <w:pPr>
        <w:pStyle w:val="Titre3"/>
        <w:bidi/>
        <w:spacing w:before="0" w:beforeAutospacing="0" w:after="0" w:afterAutospacing="0"/>
        <w:ind w:firstLine="720"/>
        <w:rPr>
          <w:rFonts w:ascii="Traditional Arabic" w:hAnsi="Traditional Arabic" w:cs="Traditional Arabic"/>
          <w:b w:val="0"/>
          <w:bCs w:val="0"/>
          <w:sz w:val="32"/>
          <w:szCs w:val="32"/>
        </w:rPr>
      </w:pPr>
      <w:r>
        <w:rPr>
          <w:rFonts w:ascii="Traditional Arabic" w:hAnsi="Traditional Arabic" w:cs="Traditional Arabic"/>
          <w:b w:val="0"/>
          <w:bCs w:val="0"/>
          <w:sz w:val="32"/>
          <w:szCs w:val="32"/>
          <w:rtl/>
        </w:rPr>
        <w:t>وقد أظهرت الدراسة أن التوريق يمتلك قدرة كبيرة على الحد من مخاطر الائتمان من خلال نقل جزء من هذه المخاطر إلى المستثمرين بدلًا من احتفاظ البنك بها داخل ميزانيته، وهو ما ينعكس إيجابًا على جودة محفظته ويقلل من حدة التعثرات المحتملة. كما يساهم في الحد من مخاطر السوق عبر تحويل الأصول طويلة الأجل ذات العوائد الثابتة إلى سيولة فورية أكثر مرونة. ويساعد أيضًا في الحد من مخاطر التشغيل نتيجة تقليل حجم العمليات الإدارية المباشرة داخل البنك، ونقل جزء من المهام التقنية والتحصيل والمتابعة إلى جهات متخصصة</w:t>
      </w:r>
      <w:r>
        <w:rPr>
          <w:rFonts w:ascii="Traditional Arabic" w:hAnsi="Traditional Arabic" w:cs="Traditional Arabic"/>
          <w:b w:val="0"/>
          <w:bCs w:val="0"/>
          <w:sz w:val="32"/>
          <w:szCs w:val="32"/>
        </w:rPr>
        <w:t>.</w:t>
      </w:r>
    </w:p>
    <w:p w14:paraId="178D2E21" w14:textId="77777777" w:rsidR="00524B6F" w:rsidRPr="003B30B5" w:rsidRDefault="00570A83" w:rsidP="00540437">
      <w:pPr>
        <w:pStyle w:val="Titre3"/>
        <w:bidi/>
        <w:spacing w:before="0" w:beforeAutospacing="0" w:after="0" w:afterAutospacing="0"/>
        <w:ind w:firstLine="720"/>
        <w:rPr>
          <w:rFonts w:ascii="Traditional Arabic" w:hAnsi="Traditional Arabic" w:cs="Traditional Arabic"/>
          <w:b w:val="0"/>
          <w:bCs w:val="0"/>
          <w:sz w:val="32"/>
          <w:szCs w:val="32"/>
        </w:rPr>
      </w:pPr>
      <w:r>
        <w:rPr>
          <w:rFonts w:ascii="Traditional Arabic" w:hAnsi="Traditional Arabic" w:cs="Traditional Arabic"/>
          <w:b w:val="0"/>
          <w:bCs w:val="0"/>
          <w:sz w:val="32"/>
          <w:szCs w:val="32"/>
          <w:rtl/>
        </w:rPr>
        <w:t>أما فيما يخص مخاطر السيولة، فقد أثبتت الدراسة أن التوريق يمثل أداة فعّالة لتحسين المؤشرات التنظيمية مثل نسبة تغطية السيولة</w:t>
      </w:r>
      <w:r>
        <w:rPr>
          <w:rFonts w:ascii="Traditional Arabic" w:hAnsi="Traditional Arabic" w:cs="Traditional Arabic"/>
          <w:b w:val="0"/>
          <w:bCs w:val="0"/>
          <w:sz w:val="32"/>
          <w:szCs w:val="32"/>
        </w:rPr>
        <w:t xml:space="preserve"> (LCR) </w:t>
      </w:r>
      <w:r>
        <w:rPr>
          <w:rFonts w:ascii="Traditional Arabic" w:hAnsi="Traditional Arabic" w:cs="Traditional Arabic"/>
          <w:b w:val="0"/>
          <w:bCs w:val="0"/>
          <w:sz w:val="32"/>
          <w:szCs w:val="32"/>
          <w:rtl/>
        </w:rPr>
        <w:t>ونسبة التمويل المستقر الصافي</w:t>
      </w:r>
      <w:r>
        <w:rPr>
          <w:rFonts w:ascii="Traditional Arabic" w:hAnsi="Traditional Arabic" w:cs="Traditional Arabic"/>
          <w:b w:val="0"/>
          <w:bCs w:val="0"/>
          <w:sz w:val="32"/>
          <w:szCs w:val="32"/>
        </w:rPr>
        <w:t xml:space="preserve"> (NSFR)</w:t>
      </w:r>
      <w:r>
        <w:rPr>
          <w:rFonts w:ascii="Traditional Arabic" w:hAnsi="Traditional Arabic" w:cs="Traditional Arabic"/>
          <w:b w:val="0"/>
          <w:bCs w:val="0"/>
          <w:sz w:val="32"/>
          <w:szCs w:val="32"/>
          <w:rtl/>
        </w:rPr>
        <w:t>، وذلك عبر توفير سيولة مستقرة ومستمرة تساعد البنك على تمويل احتياجاته التشغيلية وتحقيق امتثال أكبر لمتطلبات بازل. كما يساهم في تنويع مصادر التمويل وتخفيف الاعتماد على القروض التقليدية، وهو ما يعزز المرونة المالية للمؤسسة المصرفية</w:t>
      </w:r>
      <w:r>
        <w:rPr>
          <w:rFonts w:ascii="Traditional Arabic" w:hAnsi="Traditional Arabic" w:cs="Traditional Arabic"/>
          <w:b w:val="0"/>
          <w:bCs w:val="0"/>
          <w:sz w:val="32"/>
          <w:szCs w:val="32"/>
        </w:rPr>
        <w:t>.</w:t>
      </w:r>
    </w:p>
    <w:p w14:paraId="1E2F64D5" w14:textId="77777777" w:rsidR="00524B6F" w:rsidRPr="003B30B5" w:rsidRDefault="00570A83" w:rsidP="00540437">
      <w:pPr>
        <w:pStyle w:val="Titre3"/>
        <w:bidi/>
        <w:spacing w:before="0" w:beforeAutospacing="0" w:after="0" w:afterAutospacing="0"/>
        <w:ind w:firstLine="720"/>
        <w:rPr>
          <w:rFonts w:ascii="Traditional Arabic" w:hAnsi="Traditional Arabic" w:cs="Traditional Arabic"/>
          <w:b w:val="0"/>
          <w:bCs w:val="0"/>
          <w:sz w:val="32"/>
          <w:szCs w:val="32"/>
        </w:rPr>
      </w:pPr>
      <w:r>
        <w:rPr>
          <w:rFonts w:ascii="Traditional Arabic" w:hAnsi="Traditional Arabic" w:cs="Traditional Arabic"/>
          <w:b w:val="0"/>
          <w:bCs w:val="0"/>
          <w:sz w:val="32"/>
          <w:szCs w:val="32"/>
          <w:rtl/>
        </w:rPr>
        <w:t>ومن خلال دراسة حالة البنك الأهلي السعودي، تبيّن أن اعتماد آليات التوريق ساهم بشكل ملموس في تقوية المؤشرات المالية للبنك، وتحسين قدرته على تمويل مشاريعه التوسعية، وتنويع مصادر دخله، وتقليل درجة تعرضه للمخاطر المرتفعة. وقد برز هذا بشكل خاص من خلال تطوير البنك لمحافظ التمويل العقاري والاستهلاكي، واعتماده على أدوات مالية متجددة تتماشى مع المعايير الدولية ومع التوجهات الحديثة للسوق السعودي</w:t>
      </w:r>
      <w:r>
        <w:rPr>
          <w:rFonts w:ascii="Traditional Arabic" w:hAnsi="Traditional Arabic" w:cs="Traditional Arabic"/>
          <w:b w:val="0"/>
          <w:bCs w:val="0"/>
          <w:sz w:val="32"/>
          <w:szCs w:val="32"/>
        </w:rPr>
        <w:t>.</w:t>
      </w:r>
    </w:p>
    <w:p w14:paraId="1B3C05BD" w14:textId="77777777" w:rsidR="00524B6F" w:rsidRPr="003B30B5" w:rsidRDefault="00570A83" w:rsidP="00540437">
      <w:pPr>
        <w:pStyle w:val="Titre3"/>
        <w:bidi/>
        <w:spacing w:before="0" w:beforeAutospacing="0" w:after="0" w:afterAutospacing="0"/>
        <w:ind w:firstLine="720"/>
        <w:rPr>
          <w:rFonts w:ascii="Traditional Arabic" w:hAnsi="Traditional Arabic" w:cs="Traditional Arabic"/>
          <w:b w:val="0"/>
          <w:bCs w:val="0"/>
          <w:sz w:val="32"/>
          <w:szCs w:val="32"/>
        </w:rPr>
      </w:pPr>
      <w:r>
        <w:rPr>
          <w:rFonts w:ascii="Traditional Arabic" w:hAnsi="Traditional Arabic" w:cs="Traditional Arabic"/>
          <w:b w:val="0"/>
          <w:bCs w:val="0"/>
          <w:sz w:val="32"/>
          <w:szCs w:val="32"/>
          <w:rtl/>
        </w:rPr>
        <w:t>وعلى الرغم من المزايا العديدة للتوريق، إلا أن الدراسة خلصت أيضًا إلى وجود بعض التحديات التي ينبغي أخذها في الحسبان، ومن أهمها ضرورة توفير إطار تشريعي واضح يضبط عمليات التوريق ويمنع الانحرافات المحتملة، إضافة إلى أهمية تعزيز الشفافية والإفصاح، ورفع كفاءة تقييم الأصول، وضمان استقلالية الجهات المشاركة في العملية. كما أوصت الدراسة بضرورة تطوير البيئة الرقابية وتكثيف التدريب في البنوك العربية من أجل اكتساب المهارات اللازمة لتطبيق هذا النظام بكفاءة عالية</w:t>
      </w:r>
      <w:r>
        <w:rPr>
          <w:rFonts w:ascii="Traditional Arabic" w:hAnsi="Traditional Arabic" w:cs="Traditional Arabic"/>
          <w:b w:val="0"/>
          <w:bCs w:val="0"/>
          <w:sz w:val="32"/>
          <w:szCs w:val="32"/>
        </w:rPr>
        <w:t>.</w:t>
      </w:r>
    </w:p>
    <w:p w14:paraId="68B4ECA3" w14:textId="77777777" w:rsidR="00524B6F" w:rsidRPr="003B30B5" w:rsidRDefault="00570A83" w:rsidP="00540437">
      <w:pPr>
        <w:pStyle w:val="Titre3"/>
        <w:bidi/>
        <w:spacing w:before="0" w:beforeAutospacing="0" w:after="0" w:afterAutospacing="0"/>
        <w:ind w:firstLine="720"/>
        <w:rPr>
          <w:rFonts w:ascii="Traditional Arabic" w:hAnsi="Traditional Arabic" w:cs="Traditional Arabic"/>
          <w:b w:val="0"/>
          <w:bCs w:val="0"/>
          <w:sz w:val="32"/>
          <w:szCs w:val="32"/>
        </w:rPr>
      </w:pPr>
      <w:r>
        <w:rPr>
          <w:rFonts w:ascii="Traditional Arabic" w:hAnsi="Traditional Arabic" w:cs="Traditional Arabic"/>
          <w:b w:val="0"/>
          <w:bCs w:val="0"/>
          <w:sz w:val="32"/>
          <w:szCs w:val="32"/>
          <w:rtl/>
        </w:rPr>
        <w:t xml:space="preserve">وختامًا، يمكن القول إن التوريق يمثل أداة استراتيجية قادرة على دعم مسار تطوير القطاع المصرفي في الدول العربية، وتعزيز الاستقرار المالي، وتمكين البنوك من مواجهة التحديات المستقبلية بمرونة أكبر. وتفتح نتائج هذه الدراسة الباب أمام أبحاث أعمق في هذا المجال، سواء من خلال مقارنة التجارب بين الدول، أو دراسة </w:t>
      </w:r>
      <w:r>
        <w:rPr>
          <w:rFonts w:ascii="Traditional Arabic" w:hAnsi="Traditional Arabic" w:cs="Traditional Arabic"/>
          <w:b w:val="0"/>
          <w:bCs w:val="0"/>
          <w:sz w:val="32"/>
          <w:szCs w:val="32"/>
          <w:rtl/>
        </w:rPr>
        <w:lastRenderedPageBreak/>
        <w:t>النماذج المتقدمة للتوريق الإسلامي، أو تحليل تأثير التوريق على النمو الاقتصادي بشكل عام. وبذلك تكون هذه الدراسة قد ساهمت في إغناء المعرفة العلمية حول هذا الموضوع الحيوي، ووضعت أرضية صلبة لمزيد من التطوير والبحث في آليات إدارة المخاطر المصرفية الحديثة</w:t>
      </w:r>
      <w:r>
        <w:rPr>
          <w:rFonts w:ascii="Traditional Arabic" w:hAnsi="Traditional Arabic" w:cs="Traditional Arabic"/>
          <w:b w:val="0"/>
          <w:bCs w:val="0"/>
          <w:sz w:val="32"/>
          <w:szCs w:val="32"/>
        </w:rPr>
        <w:t>.</w:t>
      </w:r>
    </w:p>
    <w:p w14:paraId="7FE72644" w14:textId="77777777" w:rsidR="00A84008" w:rsidRPr="007C492E" w:rsidRDefault="00A84008" w:rsidP="00540437">
      <w:pPr>
        <w:pStyle w:val="Titre3"/>
        <w:bidi/>
        <w:spacing w:before="0" w:beforeAutospacing="0" w:after="0" w:afterAutospacing="0"/>
        <w:rPr>
          <w:rFonts w:ascii="Traditional Arabic" w:hAnsi="Traditional Arabic" w:cs="Traditional Arabic"/>
          <w:sz w:val="36"/>
          <w:szCs w:val="36"/>
        </w:rPr>
      </w:pPr>
      <w:r>
        <w:rPr>
          <w:rFonts w:ascii="Traditional Arabic" w:hAnsi="Traditional Arabic" w:cs="Traditional Arabic"/>
          <w:sz w:val="36"/>
          <w:szCs w:val="36"/>
          <w:rtl/>
        </w:rPr>
        <w:t>أولاً: النتائج</w:t>
      </w:r>
    </w:p>
    <w:p w14:paraId="61B404F9" w14:textId="77777777" w:rsidR="00A84008" w:rsidRPr="0011123F" w:rsidRDefault="00A84008" w:rsidP="00540437">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خلصت هذه الدراسة الموسومة بـ "</w:t>
      </w:r>
      <w:r>
        <w:rPr>
          <w:rFonts w:ascii="Traditional Arabic" w:hAnsi="Traditional Arabic" w:cs="Traditional Arabic"/>
          <w:b/>
          <w:bCs/>
          <w:sz w:val="32"/>
          <w:szCs w:val="32"/>
          <w:rtl/>
        </w:rPr>
        <w:t>التوريق كآلية لإدارة المخاطر المصرفية – دراسة تطبيقية على البنك الأهلي السعودي</w:t>
      </w:r>
      <w:r>
        <w:rPr>
          <w:rFonts w:ascii="Traditional Arabic" w:hAnsi="Traditional Arabic" w:cs="Traditional Arabic"/>
          <w:sz w:val="32"/>
          <w:szCs w:val="32"/>
          <w:rtl/>
        </w:rPr>
        <w:t>" إلى جملة من النتائج العلمية يمكن تصنيفها على النحو التالي في ضوء الإجابة عن إشكالية: إلى أي مدى يساهم التوريق في تحسين إدارة المخاطر المصرفية؟</w:t>
      </w:r>
    </w:p>
    <w:p w14:paraId="522FB17A" w14:textId="77777777" w:rsidR="00A84008" w:rsidRPr="007C492E" w:rsidRDefault="00A84008" w:rsidP="00540437">
      <w:pPr>
        <w:pStyle w:val="Sansinterligne"/>
        <w:bidi/>
        <w:rPr>
          <w:rFonts w:ascii="Traditional Arabic" w:hAnsi="Traditional Arabic" w:cs="Traditional Arabic"/>
          <w:b/>
          <w:bCs/>
          <w:sz w:val="32"/>
          <w:szCs w:val="32"/>
        </w:rPr>
      </w:pPr>
      <w:bookmarkStart w:id="51" w:name="على-صعيد-الإطار-النظري"/>
      <w:r>
        <w:rPr>
          <w:rFonts w:ascii="Traditional Arabic" w:hAnsi="Traditional Arabic" w:cs="Traditional Arabic"/>
          <w:b/>
          <w:bCs/>
          <w:sz w:val="32"/>
          <w:szCs w:val="32"/>
          <w:rtl/>
        </w:rPr>
        <w:t>1. على صعيد الإطار النظري</w:t>
      </w:r>
    </w:p>
    <w:p w14:paraId="0AB87A2D" w14:textId="77777777" w:rsidR="00A84008" w:rsidRPr="0011123F" w:rsidRDefault="00A84008" w:rsidP="00540437">
      <w:pPr>
        <w:numPr>
          <w:ilvl w:val="0"/>
          <w:numId w:val="51"/>
        </w:numPr>
        <w:bidi/>
        <w:spacing w:after="0" w:line="240" w:lineRule="auto"/>
        <w:ind w:left="720"/>
        <w:rPr>
          <w:rFonts w:ascii="Traditional Arabic" w:hAnsi="Traditional Arabic" w:cs="Traditional Arabic"/>
          <w:sz w:val="32"/>
          <w:szCs w:val="32"/>
        </w:rPr>
      </w:pPr>
      <w:r>
        <w:rPr>
          <w:rFonts w:ascii="Traditional Arabic" w:hAnsi="Traditional Arabic" w:cs="Traditional Arabic"/>
          <w:b/>
          <w:bCs/>
          <w:sz w:val="32"/>
          <w:szCs w:val="32"/>
          <w:rtl/>
        </w:rPr>
        <w:t>تحقّقت الفرضية الأولى</w:t>
      </w:r>
      <w:r>
        <w:rPr>
          <w:rFonts w:ascii="Traditional Arabic" w:hAnsi="Traditional Arabic" w:cs="Traditional Arabic"/>
          <w:sz w:val="32"/>
          <w:szCs w:val="32"/>
          <w:rtl/>
        </w:rPr>
        <w:t>: إذ أثبتت الدراسة أن التوريق المصرفي يقوم فعلاً على أسس مالية وقانونية متينة تهدف إلى تحويل الأصول الائتمانية غير السائلة إلى أدوات مالية قابلة للتداول، من خلال آلية نقل الملكية إلى شركة ذات غرض خاص (SPV)، وإصدار أوراق مالية مضمونة بتلك الأصول، ثم بيعها لقاعدة متنوعة من المستثمرين.</w:t>
      </w:r>
    </w:p>
    <w:p w14:paraId="6233D68E" w14:textId="77777777" w:rsidR="00A84008" w:rsidRPr="0011123F" w:rsidRDefault="00A84008" w:rsidP="00540437">
      <w:pPr>
        <w:numPr>
          <w:ilvl w:val="0"/>
          <w:numId w:val="51"/>
        </w:numPr>
        <w:bidi/>
        <w:spacing w:after="0" w:line="240" w:lineRule="auto"/>
        <w:ind w:left="720"/>
        <w:rPr>
          <w:rFonts w:ascii="Traditional Arabic" w:hAnsi="Traditional Arabic" w:cs="Traditional Arabic"/>
          <w:sz w:val="32"/>
          <w:szCs w:val="32"/>
        </w:rPr>
      </w:pPr>
      <w:r>
        <w:rPr>
          <w:rFonts w:ascii="Traditional Arabic" w:hAnsi="Traditional Arabic" w:cs="Traditional Arabic"/>
          <w:b/>
          <w:bCs/>
          <w:sz w:val="32"/>
          <w:szCs w:val="32"/>
          <w:rtl/>
        </w:rPr>
        <w:t>تحقّقت الفرضية الثانية</w:t>
      </w:r>
      <w:r>
        <w:rPr>
          <w:rFonts w:ascii="Traditional Arabic" w:hAnsi="Traditional Arabic" w:cs="Traditional Arabic"/>
          <w:sz w:val="32"/>
          <w:szCs w:val="32"/>
          <w:rtl/>
        </w:rPr>
        <w:t>: إذ بيّنت الدراسة أن فعالية التوريق تتوقف بصورة مباشرة على توافر إطار قانوني وتنظيمي متكامل يُجيز إنشاء شركات الأغراض الخاصة ويُنظّم تداول الأوراق المالية المضمونة بالأصول، كما يُظهر النموذج السعودي جلياً حين أسهمت لوائح هيئة السوق المالية (CMA) والبنك المركزي (ساما) في تمكين التوريق وضبطه في آنٍ معاً.</w:t>
      </w:r>
    </w:p>
    <w:p w14:paraId="79BAE6FD" w14:textId="77777777" w:rsidR="00A84008" w:rsidRPr="0011123F" w:rsidRDefault="00A84008" w:rsidP="00540437">
      <w:pPr>
        <w:numPr>
          <w:ilvl w:val="0"/>
          <w:numId w:val="51"/>
        </w:numPr>
        <w:bidi/>
        <w:spacing w:after="0" w:line="240" w:lineRule="auto"/>
        <w:ind w:left="720"/>
        <w:rPr>
          <w:rFonts w:ascii="Traditional Arabic" w:hAnsi="Traditional Arabic" w:cs="Traditional Arabic"/>
          <w:sz w:val="32"/>
          <w:szCs w:val="32"/>
        </w:rPr>
      </w:pPr>
      <w:r>
        <w:rPr>
          <w:rFonts w:ascii="Traditional Arabic" w:hAnsi="Traditional Arabic" w:cs="Traditional Arabic"/>
          <w:b/>
          <w:bCs/>
          <w:sz w:val="32"/>
          <w:szCs w:val="32"/>
          <w:rtl/>
        </w:rPr>
        <w:t>تحقّقت الفرضية الثالثة</w:t>
      </w:r>
      <w:r>
        <w:rPr>
          <w:rFonts w:ascii="Traditional Arabic" w:hAnsi="Traditional Arabic" w:cs="Traditional Arabic"/>
          <w:sz w:val="32"/>
          <w:szCs w:val="32"/>
          <w:rtl/>
        </w:rPr>
        <w:t>: إذ كشفت دراسة حالة البنك الأهلي السعودي أن نجاح التوريق في التجارب المتقدمة يرتكز على ثلاثة أعمدة: أسواق مالية ناضجة، وقوانين شاملة، ومؤسسات متخصصة قادرة على إدارة العملية بكفاءة.</w:t>
      </w:r>
    </w:p>
    <w:p w14:paraId="123C7D36" w14:textId="77777777" w:rsidR="00A84008" w:rsidRPr="007C492E" w:rsidRDefault="00A84008" w:rsidP="00540437">
      <w:pPr>
        <w:pStyle w:val="Sansinterligne"/>
        <w:bidi/>
        <w:rPr>
          <w:rFonts w:ascii="Traditional Arabic" w:hAnsi="Traditional Arabic" w:cs="Traditional Arabic"/>
          <w:b/>
          <w:bCs/>
          <w:sz w:val="32"/>
          <w:szCs w:val="32"/>
        </w:rPr>
      </w:pPr>
      <w:bookmarkStart w:id="52" w:name="على-صعيد-الدراسة-التطبيقية"/>
      <w:bookmarkEnd w:id="51"/>
      <w:r>
        <w:rPr>
          <w:rFonts w:ascii="Traditional Arabic" w:hAnsi="Traditional Arabic" w:cs="Traditional Arabic"/>
          <w:b/>
          <w:bCs/>
          <w:sz w:val="32"/>
          <w:szCs w:val="32"/>
          <w:rtl/>
        </w:rPr>
        <w:t>2. على صعيد الدراسة التطبيقية</w:t>
      </w:r>
    </w:p>
    <w:p w14:paraId="359C397D" w14:textId="77777777" w:rsidR="00A84008" w:rsidRPr="0011123F" w:rsidRDefault="00A84008" w:rsidP="00540437">
      <w:pPr>
        <w:numPr>
          <w:ilvl w:val="0"/>
          <w:numId w:val="51"/>
        </w:numPr>
        <w:bidi/>
        <w:spacing w:after="0" w:line="240" w:lineRule="auto"/>
        <w:ind w:left="720"/>
        <w:rPr>
          <w:rFonts w:ascii="Traditional Arabic" w:hAnsi="Traditional Arabic" w:cs="Traditional Arabic"/>
          <w:sz w:val="32"/>
          <w:szCs w:val="32"/>
        </w:rPr>
      </w:pPr>
      <w:r>
        <w:rPr>
          <w:rFonts w:ascii="Traditional Arabic" w:hAnsi="Traditional Arabic" w:cs="Traditional Arabic"/>
          <w:sz w:val="32"/>
          <w:szCs w:val="32"/>
          <w:rtl/>
        </w:rPr>
        <w:t xml:space="preserve">أثبتت الدراسة أن التوريق أسهم في </w:t>
      </w:r>
      <w:r>
        <w:rPr>
          <w:rFonts w:ascii="Traditional Arabic" w:hAnsi="Traditional Arabic" w:cs="Traditional Arabic"/>
          <w:b/>
          <w:bCs/>
          <w:sz w:val="32"/>
          <w:szCs w:val="32"/>
          <w:rtl/>
        </w:rPr>
        <w:t>خفض نسبة الديون المتعثرة</w:t>
      </w:r>
      <w:r>
        <w:rPr>
          <w:rFonts w:ascii="Traditional Arabic" w:hAnsi="Traditional Arabic" w:cs="Traditional Arabic"/>
          <w:sz w:val="32"/>
          <w:szCs w:val="32"/>
          <w:rtl/>
        </w:rPr>
        <w:t xml:space="preserve"> في البنك الأهلي السعودي من 2.8% عام 2019 إلى 2.1% عام 2023، بانخفاض نسبته 25%.</w:t>
      </w:r>
    </w:p>
    <w:p w14:paraId="45564514" w14:textId="77777777" w:rsidR="00A84008" w:rsidRPr="0011123F" w:rsidRDefault="00A84008" w:rsidP="00540437">
      <w:pPr>
        <w:numPr>
          <w:ilvl w:val="0"/>
          <w:numId w:val="51"/>
        </w:numPr>
        <w:bidi/>
        <w:spacing w:after="0" w:line="240" w:lineRule="auto"/>
        <w:ind w:left="720"/>
        <w:rPr>
          <w:rFonts w:ascii="Traditional Arabic" w:hAnsi="Traditional Arabic" w:cs="Traditional Arabic"/>
          <w:sz w:val="32"/>
          <w:szCs w:val="32"/>
        </w:rPr>
      </w:pPr>
      <w:r>
        <w:rPr>
          <w:rFonts w:ascii="Traditional Arabic" w:hAnsi="Traditional Arabic" w:cs="Traditional Arabic"/>
          <w:sz w:val="32"/>
          <w:szCs w:val="32"/>
          <w:rtl/>
        </w:rPr>
        <w:t xml:space="preserve">رُفعت </w:t>
      </w:r>
      <w:r>
        <w:rPr>
          <w:rFonts w:ascii="Traditional Arabic" w:hAnsi="Traditional Arabic" w:cs="Traditional Arabic"/>
          <w:b/>
          <w:bCs/>
          <w:sz w:val="32"/>
          <w:szCs w:val="32"/>
          <w:rtl/>
        </w:rPr>
        <w:t>نسبة تغطية السيولة (LCR)</w:t>
      </w:r>
      <w:r>
        <w:rPr>
          <w:rFonts w:ascii="Traditional Arabic" w:hAnsi="Traditional Arabic" w:cs="Traditional Arabic"/>
          <w:sz w:val="32"/>
          <w:szCs w:val="32"/>
          <w:rtl/>
        </w:rPr>
        <w:t xml:space="preserve"> من 118% إلى 156%، أي بزيادة 38 نقطة مئوية خلال خمس سنوات.</w:t>
      </w:r>
    </w:p>
    <w:p w14:paraId="19A4F3D9" w14:textId="77777777" w:rsidR="00A84008" w:rsidRPr="0011123F" w:rsidRDefault="00A84008" w:rsidP="00540437">
      <w:pPr>
        <w:numPr>
          <w:ilvl w:val="0"/>
          <w:numId w:val="51"/>
        </w:numPr>
        <w:bidi/>
        <w:spacing w:after="0" w:line="240" w:lineRule="auto"/>
        <w:ind w:left="720"/>
        <w:rPr>
          <w:rFonts w:ascii="Traditional Arabic" w:hAnsi="Traditional Arabic" w:cs="Traditional Arabic"/>
          <w:sz w:val="32"/>
          <w:szCs w:val="32"/>
        </w:rPr>
      </w:pPr>
      <w:r>
        <w:rPr>
          <w:rFonts w:ascii="Traditional Arabic" w:hAnsi="Traditional Arabic" w:cs="Traditional Arabic"/>
          <w:sz w:val="32"/>
          <w:szCs w:val="32"/>
          <w:rtl/>
        </w:rPr>
        <w:t xml:space="preserve">انخفضت </w:t>
      </w:r>
      <w:r>
        <w:rPr>
          <w:rFonts w:ascii="Traditional Arabic" w:hAnsi="Traditional Arabic" w:cs="Traditional Arabic"/>
          <w:b/>
          <w:bCs/>
          <w:sz w:val="32"/>
          <w:szCs w:val="32"/>
          <w:rtl/>
        </w:rPr>
        <w:t>فجوة آجال الاستحقاق</w:t>
      </w:r>
      <w:r>
        <w:rPr>
          <w:rFonts w:ascii="Traditional Arabic" w:hAnsi="Traditional Arabic" w:cs="Traditional Arabic"/>
          <w:sz w:val="32"/>
          <w:szCs w:val="32"/>
          <w:rtl/>
        </w:rPr>
        <w:t xml:space="preserve"> بمقدار 41%، مما قلّص حساسية البنك لتقلبات أسعار الفائدة.</w:t>
      </w:r>
    </w:p>
    <w:p w14:paraId="682B8EAA" w14:textId="7C61E59E" w:rsidR="00A84008" w:rsidRDefault="00A84008" w:rsidP="00540437">
      <w:pPr>
        <w:numPr>
          <w:ilvl w:val="0"/>
          <w:numId w:val="51"/>
        </w:numPr>
        <w:bidi/>
        <w:spacing w:after="0" w:line="240" w:lineRule="auto"/>
        <w:ind w:left="720"/>
        <w:rPr>
          <w:rFonts w:ascii="Traditional Arabic" w:hAnsi="Traditional Arabic" w:cs="Traditional Arabic"/>
          <w:sz w:val="32"/>
          <w:szCs w:val="32"/>
        </w:rPr>
      </w:pPr>
      <w:r>
        <w:rPr>
          <w:rFonts w:ascii="Traditional Arabic" w:hAnsi="Traditional Arabic" w:cs="Traditional Arabic"/>
          <w:sz w:val="32"/>
          <w:szCs w:val="32"/>
          <w:rtl/>
        </w:rPr>
        <w:t xml:space="preserve">ارتفعت </w:t>
      </w:r>
      <w:r>
        <w:rPr>
          <w:rFonts w:ascii="Traditional Arabic" w:hAnsi="Traditional Arabic" w:cs="Traditional Arabic"/>
          <w:b/>
          <w:bCs/>
          <w:sz w:val="32"/>
          <w:szCs w:val="32"/>
          <w:rtl/>
        </w:rPr>
        <w:t>نسبة كفاية رأس المال (CAR)</w:t>
      </w:r>
      <w:r>
        <w:rPr>
          <w:rFonts w:ascii="Traditional Arabic" w:hAnsi="Traditional Arabic" w:cs="Traditional Arabic"/>
          <w:sz w:val="32"/>
          <w:szCs w:val="32"/>
          <w:rtl/>
        </w:rPr>
        <w:t xml:space="preserve"> بمقدار 5.9 نقطة مئوية إضافية بفعل التوريق، مع تراجع الأصول المرجّحة بالمخاطر (RWA) بنسبة 6.6%.</w:t>
      </w:r>
    </w:p>
    <w:p w14:paraId="52B2DB14" w14:textId="77777777" w:rsidR="00242401" w:rsidRPr="0011123F" w:rsidRDefault="00242401" w:rsidP="00242401">
      <w:pPr>
        <w:bidi/>
        <w:spacing w:after="0" w:line="240" w:lineRule="auto"/>
        <w:rPr>
          <w:rFonts w:ascii="Traditional Arabic" w:hAnsi="Traditional Arabic" w:cs="Traditional Arabic"/>
          <w:sz w:val="32"/>
          <w:szCs w:val="32"/>
        </w:rPr>
      </w:pPr>
    </w:p>
    <w:p w14:paraId="6A0D10DB" w14:textId="77777777" w:rsidR="00A84008" w:rsidRPr="007C492E" w:rsidRDefault="00A84008" w:rsidP="00540437">
      <w:pPr>
        <w:pStyle w:val="Sansinterligne"/>
        <w:bidi/>
        <w:rPr>
          <w:rFonts w:ascii="Traditional Arabic" w:hAnsi="Traditional Arabic" w:cs="Traditional Arabic"/>
          <w:b/>
          <w:bCs/>
          <w:sz w:val="32"/>
          <w:szCs w:val="32"/>
        </w:rPr>
      </w:pPr>
      <w:bookmarkStart w:id="53" w:name="على-صعيد-الجزائر"/>
      <w:bookmarkEnd w:id="52"/>
      <w:r>
        <w:rPr>
          <w:rFonts w:ascii="Traditional Arabic" w:hAnsi="Traditional Arabic" w:cs="Traditional Arabic"/>
          <w:b/>
          <w:bCs/>
          <w:sz w:val="32"/>
          <w:szCs w:val="32"/>
          <w:rtl/>
        </w:rPr>
        <w:lastRenderedPageBreak/>
        <w:t>3. على صعيد الجزائر</w:t>
      </w:r>
    </w:p>
    <w:p w14:paraId="124CA07D" w14:textId="77777777" w:rsidR="00A84008" w:rsidRPr="0011123F" w:rsidRDefault="00A84008" w:rsidP="00540437">
      <w:pPr>
        <w:numPr>
          <w:ilvl w:val="0"/>
          <w:numId w:val="51"/>
        </w:numPr>
        <w:bidi/>
        <w:spacing w:after="0" w:line="240" w:lineRule="auto"/>
        <w:ind w:left="720"/>
        <w:rPr>
          <w:rFonts w:ascii="Traditional Arabic" w:hAnsi="Traditional Arabic" w:cs="Traditional Arabic"/>
          <w:sz w:val="32"/>
          <w:szCs w:val="32"/>
        </w:rPr>
      </w:pPr>
      <w:r>
        <w:rPr>
          <w:rFonts w:ascii="Traditional Arabic" w:hAnsi="Traditional Arabic" w:cs="Traditional Arabic"/>
          <w:b/>
          <w:bCs/>
          <w:sz w:val="32"/>
          <w:szCs w:val="32"/>
          <w:rtl/>
        </w:rPr>
        <w:t>تحقّقت الفرضية الرابعة جزئياً</w:t>
      </w:r>
      <w:r>
        <w:rPr>
          <w:rFonts w:ascii="Traditional Arabic" w:hAnsi="Traditional Arabic" w:cs="Traditional Arabic"/>
          <w:sz w:val="32"/>
          <w:szCs w:val="32"/>
          <w:rtl/>
        </w:rPr>
        <w:t>: إذ تمتلك الجزائر مؤهلات أوّلية للانطلاق في مسار التوريق، غير أن تطبيقه الفعلي يستلزم إصلاحات تشريعية جوهرية وتطوير البنية التحتية للسوق المالية، لا سيما في ظل غياب النصوص الصريحة التي تنظّم شركات الأغراض الخاصة وتداول الأوراق المالية المدعومة بالأصول.</w:t>
      </w:r>
    </w:p>
    <w:bookmarkEnd w:id="50"/>
    <w:bookmarkEnd w:id="53"/>
    <w:p w14:paraId="20B5A9B6" w14:textId="77777777" w:rsidR="00A84008" w:rsidRPr="007C492E" w:rsidRDefault="00A84008" w:rsidP="00540437">
      <w:pPr>
        <w:pStyle w:val="Titre3"/>
        <w:bidi/>
        <w:spacing w:before="0" w:beforeAutospacing="0" w:after="0" w:afterAutospacing="0"/>
        <w:rPr>
          <w:rFonts w:ascii="Traditional Arabic" w:hAnsi="Traditional Arabic" w:cs="Traditional Arabic"/>
          <w:sz w:val="36"/>
          <w:szCs w:val="36"/>
        </w:rPr>
      </w:pPr>
      <w:r>
        <w:rPr>
          <w:rFonts w:ascii="Traditional Arabic" w:hAnsi="Traditional Arabic" w:cs="Traditional Arabic"/>
          <w:sz w:val="36"/>
          <w:szCs w:val="36"/>
          <w:rtl/>
        </w:rPr>
        <w:t>ثانياً: التوصيات</w:t>
      </w:r>
    </w:p>
    <w:p w14:paraId="743C7DD6" w14:textId="77777777" w:rsidR="00A84008" w:rsidRPr="0011123F" w:rsidRDefault="00A84008" w:rsidP="00540437">
      <w:p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على الصعيد التشريعي والتنظيمي:</w:t>
      </w:r>
    </w:p>
    <w:p w14:paraId="4FB468F6" w14:textId="77777777" w:rsidR="00A84008" w:rsidRPr="0011123F" w:rsidRDefault="00A84008" w:rsidP="00540437">
      <w:pPr>
        <w:numPr>
          <w:ilvl w:val="0"/>
          <w:numId w:val="52"/>
        </w:num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سنّ قانون التوريق</w:t>
      </w:r>
      <w:r>
        <w:rPr>
          <w:rFonts w:ascii="Traditional Arabic" w:hAnsi="Traditional Arabic" w:cs="Traditional Arabic"/>
          <w:sz w:val="32"/>
          <w:szCs w:val="32"/>
          <w:rtl/>
        </w:rPr>
        <w:t>: يُوصى بإصدار قانون خاص ينظّم عمليات التوريق المصرفي في الجزائر، يتضمّن تعريفاً قانونياً لـ SPV وآليات نقل الملكية وضمانات العزل الائتماني.</w:t>
      </w:r>
    </w:p>
    <w:p w14:paraId="572B86B3" w14:textId="77777777" w:rsidR="00A84008" w:rsidRPr="0011123F" w:rsidRDefault="00A84008" w:rsidP="00540437">
      <w:pPr>
        <w:numPr>
          <w:ilvl w:val="0"/>
          <w:numId w:val="52"/>
        </w:num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تفعيل دور السوق المالية</w:t>
      </w:r>
      <w:r>
        <w:rPr>
          <w:rFonts w:ascii="Traditional Arabic" w:hAnsi="Traditional Arabic" w:cs="Traditional Arabic"/>
          <w:sz w:val="32"/>
          <w:szCs w:val="32"/>
          <w:rtl/>
        </w:rPr>
        <w:t>: يُوصى بتعزيز سوق البورصة الجزائرية لاستيعاب أدوات الدين والأوراق المالية المدعومة بالأصول.</w:t>
      </w:r>
    </w:p>
    <w:p w14:paraId="3BDB58FE" w14:textId="77777777" w:rsidR="00A84008" w:rsidRPr="0011123F" w:rsidRDefault="00A84008" w:rsidP="00540437">
      <w:pPr>
        <w:numPr>
          <w:ilvl w:val="0"/>
          <w:numId w:val="52"/>
        </w:num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إنشاء وكالة تصنيف ائتماني محلية</w:t>
      </w:r>
      <w:r>
        <w:rPr>
          <w:rFonts w:ascii="Traditional Arabic" w:hAnsi="Traditional Arabic" w:cs="Traditional Arabic"/>
          <w:sz w:val="32"/>
          <w:szCs w:val="32"/>
          <w:rtl/>
        </w:rPr>
        <w:t>: إذ يُشكّل غيابها عائقاً جوهرياً أمام أي مسعى للتوريق في الجزائر.</w:t>
      </w:r>
    </w:p>
    <w:p w14:paraId="68F1EB8D" w14:textId="77777777" w:rsidR="00A84008" w:rsidRPr="0011123F" w:rsidRDefault="00A84008" w:rsidP="00540437">
      <w:p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على صعيد القطاع المصرفي:</w:t>
      </w:r>
    </w:p>
    <w:p w14:paraId="23E673EA" w14:textId="77777777" w:rsidR="00A84008" w:rsidRPr="0011123F" w:rsidRDefault="00A84008" w:rsidP="00540437">
      <w:pPr>
        <w:numPr>
          <w:ilvl w:val="0"/>
          <w:numId w:val="53"/>
        </w:num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بناء كفاءات متخصصة</w:t>
      </w:r>
      <w:r>
        <w:rPr>
          <w:rFonts w:ascii="Traditional Arabic" w:hAnsi="Traditional Arabic" w:cs="Traditional Arabic"/>
          <w:sz w:val="32"/>
          <w:szCs w:val="32"/>
          <w:rtl/>
        </w:rPr>
        <w:t>: على البنوك الجزائرية تأهيل كوادرها البشرية في مجال الهندسة المالية وآليات التوريق.</w:t>
      </w:r>
    </w:p>
    <w:p w14:paraId="5AF99CDE" w14:textId="77777777" w:rsidR="00A84008" w:rsidRPr="0011123F" w:rsidRDefault="00A84008" w:rsidP="00540437">
      <w:pPr>
        <w:numPr>
          <w:ilvl w:val="0"/>
          <w:numId w:val="53"/>
        </w:num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تنميط المحافظ الائتمانية</w:t>
      </w:r>
      <w:r>
        <w:rPr>
          <w:rFonts w:ascii="Traditional Arabic" w:hAnsi="Traditional Arabic" w:cs="Traditional Arabic"/>
          <w:sz w:val="32"/>
          <w:szCs w:val="32"/>
          <w:rtl/>
        </w:rPr>
        <w:t>: تُوصى البنوك بتوحيد وتنميط عقود تمويلها العقاري والاستهلاكي تمهيداً لعمليات التوريق مستقبلاً.</w:t>
      </w:r>
    </w:p>
    <w:p w14:paraId="3503C7B7" w14:textId="77777777" w:rsidR="00A84008" w:rsidRDefault="00A84008" w:rsidP="00540437">
      <w:pPr>
        <w:numPr>
          <w:ilvl w:val="0"/>
          <w:numId w:val="53"/>
        </w:num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الاستفادة من التجربة السعودية</w:t>
      </w:r>
      <w:r>
        <w:rPr>
          <w:rFonts w:ascii="Traditional Arabic" w:hAnsi="Traditional Arabic" w:cs="Traditional Arabic"/>
          <w:sz w:val="32"/>
          <w:szCs w:val="32"/>
          <w:rtl/>
        </w:rPr>
        <w:t>: يمكن اتخاذ النموذج السعودي مرجعاً إجرائياً وتنظيمياً في بناء الإطار المحلي للتوريق.</w:t>
      </w:r>
    </w:p>
    <w:p w14:paraId="6D1193DD" w14:textId="77777777" w:rsidR="00A84008" w:rsidRPr="0011123F" w:rsidRDefault="00A84008" w:rsidP="00540437">
      <w:p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على الصعيد الاقتصادي الكلي:</w:t>
      </w:r>
    </w:p>
    <w:p w14:paraId="56628410" w14:textId="77777777" w:rsidR="00A84008" w:rsidRPr="0011123F" w:rsidRDefault="00A84008" w:rsidP="00540437">
      <w:pPr>
        <w:numPr>
          <w:ilvl w:val="0"/>
          <w:numId w:val="54"/>
        </w:num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توظيف التوريق لتمويل السكن</w:t>
      </w:r>
      <w:r>
        <w:rPr>
          <w:rFonts w:ascii="Traditional Arabic" w:hAnsi="Traditional Arabic" w:cs="Traditional Arabic"/>
          <w:sz w:val="32"/>
          <w:szCs w:val="32"/>
          <w:rtl/>
        </w:rPr>
        <w:t>: يُوصى باستخدام التوريق أداةً لتمويل القروض العقارية ودعم قطاع السكن الاجتماعي، على غرار التجارب المغربية والخليجية.</w:t>
      </w:r>
    </w:p>
    <w:p w14:paraId="1C71408B" w14:textId="77777777" w:rsidR="00A84008" w:rsidRPr="0011123F" w:rsidRDefault="00A84008" w:rsidP="00540437">
      <w:pPr>
        <w:numPr>
          <w:ilvl w:val="0"/>
          <w:numId w:val="54"/>
        </w:num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rPr>
        <w:t>تعزيز الوعي الاستثماري</w:t>
      </w:r>
      <w:r>
        <w:rPr>
          <w:rFonts w:ascii="Traditional Arabic" w:hAnsi="Traditional Arabic" w:cs="Traditional Arabic"/>
          <w:sz w:val="32"/>
          <w:szCs w:val="32"/>
          <w:rtl/>
        </w:rPr>
        <w:t>: يستوجب ذلك إطلاق برامج تثقيفية تستهدف المستثمرين والمؤسسات للتعريف بالأوراق المالية المدعومة بالأصول.</w:t>
      </w:r>
    </w:p>
    <w:p w14:paraId="3FC5C919" w14:textId="77777777" w:rsidR="00A84008" w:rsidRPr="007C492E" w:rsidRDefault="00A84008" w:rsidP="00540437">
      <w:pPr>
        <w:pStyle w:val="Titre3"/>
        <w:bidi/>
        <w:spacing w:before="0" w:beforeAutospacing="0" w:after="0" w:afterAutospacing="0"/>
        <w:rPr>
          <w:rFonts w:ascii="Traditional Arabic" w:hAnsi="Traditional Arabic" w:cs="Traditional Arabic"/>
          <w:sz w:val="36"/>
          <w:szCs w:val="36"/>
        </w:rPr>
      </w:pPr>
      <w:bookmarkStart w:id="54" w:name="رابعا-آفاق-البحث"/>
      <w:r>
        <w:rPr>
          <w:rFonts w:ascii="Traditional Arabic" w:hAnsi="Traditional Arabic" w:cs="Traditional Arabic"/>
          <w:sz w:val="36"/>
          <w:szCs w:val="36"/>
          <w:rtl/>
        </w:rPr>
        <w:t xml:space="preserve">رابعاً: آفاق </w:t>
      </w:r>
      <w:r>
        <w:rPr>
          <w:rFonts w:ascii="Traditional Arabic" w:hAnsi="Traditional Arabic" w:cs="Traditional Arabic" w:hint="cs"/>
          <w:sz w:val="36"/>
          <w:szCs w:val="36"/>
          <w:rtl/>
        </w:rPr>
        <w:t>الدراسة</w:t>
      </w:r>
    </w:p>
    <w:p w14:paraId="21C08B31" w14:textId="77777777" w:rsidR="00A84008" w:rsidRPr="0011123F" w:rsidRDefault="00A84008" w:rsidP="00540437">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 xml:space="preserve">تفتح هذه الدراسة آفاقاً بحثية متعددة يمكن استكشافها مستقبلاً، منها: - </w:t>
      </w:r>
      <w:r>
        <w:rPr>
          <w:rFonts w:ascii="Traditional Arabic" w:hAnsi="Traditional Arabic" w:cs="Traditional Arabic"/>
          <w:b/>
          <w:bCs/>
          <w:sz w:val="32"/>
          <w:szCs w:val="32"/>
          <w:rtl/>
        </w:rPr>
        <w:t>دراسة مقارنة</w:t>
      </w:r>
      <w:r>
        <w:rPr>
          <w:rFonts w:ascii="Traditional Arabic" w:hAnsi="Traditional Arabic" w:cs="Traditional Arabic"/>
          <w:sz w:val="32"/>
          <w:szCs w:val="32"/>
          <w:rtl/>
        </w:rPr>
        <w:t xml:space="preserve"> بين تجارب التوريق في المغرب وتونس ومصر لاستخلاص دروس قابلة للتطبيق في السياق الجزائري. - </w:t>
      </w:r>
      <w:r>
        <w:rPr>
          <w:rFonts w:ascii="Traditional Arabic" w:hAnsi="Traditional Arabic" w:cs="Traditional Arabic"/>
          <w:b/>
          <w:bCs/>
          <w:sz w:val="32"/>
          <w:szCs w:val="32"/>
          <w:rtl/>
        </w:rPr>
        <w:t>دراسة قانونية تحليلية</w:t>
      </w:r>
      <w:r>
        <w:rPr>
          <w:rFonts w:ascii="Traditional Arabic" w:hAnsi="Traditional Arabic" w:cs="Traditional Arabic"/>
          <w:sz w:val="32"/>
          <w:szCs w:val="32"/>
          <w:rtl/>
        </w:rPr>
        <w:t xml:space="preserve"> للفجوات التشريعية في المنظومة القانونية الجزائرية التي تحول دون إقرار التوريق. - </w:t>
      </w:r>
      <w:r>
        <w:rPr>
          <w:rFonts w:ascii="Traditional Arabic" w:hAnsi="Traditional Arabic" w:cs="Traditional Arabic"/>
          <w:b/>
          <w:bCs/>
          <w:sz w:val="32"/>
          <w:szCs w:val="32"/>
          <w:rtl/>
        </w:rPr>
        <w:t>دراسة تطبيقية</w:t>
      </w:r>
      <w:r>
        <w:rPr>
          <w:rFonts w:ascii="Traditional Arabic" w:hAnsi="Traditional Arabic" w:cs="Traditional Arabic"/>
          <w:sz w:val="32"/>
          <w:szCs w:val="32"/>
          <w:rtl/>
        </w:rPr>
        <w:t xml:space="preserve"> حول إمكانية توريق الديون </w:t>
      </w:r>
      <w:r>
        <w:rPr>
          <w:rFonts w:ascii="Traditional Arabic" w:hAnsi="Traditional Arabic" w:cs="Traditional Arabic"/>
          <w:sz w:val="32"/>
          <w:szCs w:val="32"/>
          <w:rtl/>
        </w:rPr>
        <w:lastRenderedPageBreak/>
        <w:t xml:space="preserve">العقارية في البنك الوطني الجزائري (BNA) أو بنك التنمية المحلية (BDL). - </w:t>
      </w:r>
      <w:r>
        <w:rPr>
          <w:rFonts w:ascii="Traditional Arabic" w:hAnsi="Traditional Arabic" w:cs="Traditional Arabic"/>
          <w:b/>
          <w:bCs/>
          <w:sz w:val="32"/>
          <w:szCs w:val="32"/>
          <w:rtl/>
        </w:rPr>
        <w:t>دراسة استشرافية</w:t>
      </w:r>
      <w:r>
        <w:rPr>
          <w:rFonts w:ascii="Traditional Arabic" w:hAnsi="Traditional Arabic" w:cs="Traditional Arabic"/>
          <w:sz w:val="32"/>
          <w:szCs w:val="32"/>
          <w:rtl/>
        </w:rPr>
        <w:t xml:space="preserve"> حول توظيف التكنولوجيا المالية (</w:t>
      </w:r>
      <w:proofErr w:type="spellStart"/>
      <w:r>
        <w:rPr>
          <w:rFonts w:ascii="Traditional Arabic" w:hAnsi="Traditional Arabic" w:cs="Traditional Arabic"/>
          <w:sz w:val="32"/>
          <w:szCs w:val="32"/>
          <w:rtl/>
        </w:rPr>
        <w:t>Fintech</w:t>
      </w:r>
      <w:proofErr w:type="spellEnd"/>
      <w:r>
        <w:rPr>
          <w:rFonts w:ascii="Traditional Arabic" w:hAnsi="Traditional Arabic" w:cs="Traditional Arabic"/>
          <w:sz w:val="32"/>
          <w:szCs w:val="32"/>
          <w:rtl/>
        </w:rPr>
        <w:t xml:space="preserve">) وتقنية </w:t>
      </w:r>
      <w:proofErr w:type="spellStart"/>
      <w:r>
        <w:rPr>
          <w:rFonts w:ascii="Traditional Arabic" w:hAnsi="Traditional Arabic" w:cs="Traditional Arabic"/>
          <w:sz w:val="32"/>
          <w:szCs w:val="32"/>
          <w:rtl/>
        </w:rPr>
        <w:t>البلوكشين</w:t>
      </w:r>
      <w:proofErr w:type="spellEnd"/>
      <w:r>
        <w:rPr>
          <w:rFonts w:ascii="Traditional Arabic" w:hAnsi="Traditional Arabic" w:cs="Traditional Arabic"/>
          <w:sz w:val="32"/>
          <w:szCs w:val="32"/>
          <w:rtl/>
        </w:rPr>
        <w:t xml:space="preserve"> في تطوير نماذج توريق رقمية تلائم البيئة الجزائرية.</w:t>
      </w:r>
    </w:p>
    <w:bookmarkEnd w:id="49"/>
    <w:bookmarkEnd w:id="54"/>
    <w:p w14:paraId="72A898BC"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sz w:val="32"/>
          <w:szCs w:val="32"/>
          <w:rtl/>
          <w:lang w:val="fr-FR"/>
        </w:rPr>
        <w:sectPr w:rsidR="006A1F7A" w:rsidSect="009F79D5">
          <w:headerReference w:type="default" r:id="rId40"/>
          <w:footerReference w:type="default" r:id="rId41"/>
          <w:footnotePr>
            <w:numRestart w:val="eachPage"/>
          </w:footnotePr>
          <w:pgSz w:w="11907" w:h="16839" w:code="9"/>
          <w:pgMar w:top="1440" w:right="1440" w:bottom="1440" w:left="1440" w:header="720" w:footer="720" w:gutter="0"/>
          <w:cols w:space="720"/>
          <w:docGrid w:linePitch="360"/>
        </w:sectPr>
      </w:pPr>
    </w:p>
    <w:p w14:paraId="48F85E81" w14:textId="77777777" w:rsidR="007E7909" w:rsidRPr="007E7909" w:rsidRDefault="007E7909" w:rsidP="00540437">
      <w:pPr>
        <w:bidi/>
        <w:spacing w:before="100" w:beforeAutospacing="1" w:after="100" w:afterAutospacing="1" w:line="240" w:lineRule="auto"/>
        <w:rPr>
          <w:rFonts w:ascii="Traditional Arabic" w:eastAsia="Times New Roman" w:hAnsi="Traditional Arabic" w:cs="Traditional Arabic"/>
          <w:sz w:val="32"/>
          <w:szCs w:val="32"/>
          <w:lang w:val="fr-FR"/>
        </w:rPr>
      </w:pPr>
    </w:p>
    <w:p w14:paraId="7B4E5E97" w14:textId="77777777" w:rsidR="00EE0B13" w:rsidRP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088FBDFF"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0D788BEC"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649C9D9F"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Pr>
      </w:pPr>
    </w:p>
    <w:p w14:paraId="6757C223" w14:textId="77777777" w:rsidR="00934F62" w:rsidRDefault="00934F62" w:rsidP="00540437">
      <w:pPr>
        <w:bidi/>
        <w:spacing w:before="100" w:beforeAutospacing="1" w:after="100" w:afterAutospacing="1" w:line="240" w:lineRule="auto"/>
        <w:rPr>
          <w:rFonts w:ascii="Traditional Arabic" w:eastAsia="Times New Roman" w:hAnsi="Traditional Arabic" w:cs="Traditional Arabic"/>
          <w:sz w:val="32"/>
          <w:szCs w:val="32"/>
        </w:rPr>
      </w:pPr>
    </w:p>
    <w:p w14:paraId="2CBFAFB4" w14:textId="77777777" w:rsidR="00934F62" w:rsidRPr="00047884" w:rsidRDefault="00934F62" w:rsidP="00540437">
      <w:pPr>
        <w:bidi/>
        <w:spacing w:before="100" w:beforeAutospacing="1" w:after="100" w:afterAutospacing="1" w:line="240" w:lineRule="auto"/>
        <w:rPr>
          <w:rFonts w:ascii="Traditional Arabic" w:eastAsia="Times New Roman" w:hAnsi="Traditional Arabic" w:cs="Traditional Arabic"/>
          <w:sz w:val="32"/>
          <w:szCs w:val="32"/>
        </w:rPr>
      </w:pPr>
    </w:p>
    <w:p w14:paraId="50C450F3" w14:textId="77777777" w:rsidR="0091194F" w:rsidRPr="00EE0B13" w:rsidRDefault="00EE0B13" w:rsidP="00540437">
      <w:pPr>
        <w:bidi/>
        <w:spacing w:before="100" w:beforeAutospacing="1" w:after="100" w:afterAutospacing="1" w:line="240" w:lineRule="auto"/>
        <w:rPr>
          <w:rFonts w:ascii="Traditional Arabic" w:eastAsia="Times New Roman" w:hAnsi="Traditional Arabic" w:cs="Traditional Arabic"/>
          <w:b/>
          <w:bCs/>
          <w:sz w:val="240"/>
          <w:szCs w:val="240"/>
          <w:rtl/>
        </w:rPr>
      </w:pPr>
      <w:r>
        <w:rPr>
          <w:rFonts w:ascii="Traditional Arabic" w:eastAsia="Times New Roman" w:hAnsi="Traditional Arabic" w:cs="Traditional Arabic" w:hint="cs"/>
          <w:b/>
          <w:bCs/>
          <w:sz w:val="240"/>
          <w:szCs w:val="240"/>
          <w:rtl/>
        </w:rPr>
        <w:t>قائمة المراجع</w:t>
      </w:r>
    </w:p>
    <w:p w14:paraId="16625BD6" w14:textId="77777777" w:rsidR="0091194F" w:rsidRDefault="0091194F"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5669E740"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37D9592B"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283E9513"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03E9B433" w14:textId="77777777" w:rsidR="00EE0B13" w:rsidRDefault="00EE0B13" w:rsidP="00540437">
      <w:pPr>
        <w:bidi/>
        <w:spacing w:before="100" w:beforeAutospacing="1" w:after="100" w:afterAutospacing="1" w:line="240" w:lineRule="auto"/>
        <w:rPr>
          <w:rFonts w:ascii="Traditional Arabic" w:eastAsia="Times New Roman" w:hAnsi="Traditional Arabic" w:cs="Traditional Arabic"/>
          <w:sz w:val="32"/>
          <w:szCs w:val="32"/>
          <w:rtl/>
        </w:rPr>
      </w:pPr>
    </w:p>
    <w:p w14:paraId="37B2C824" w14:textId="77777777" w:rsidR="006A1F7A" w:rsidRDefault="006A1F7A" w:rsidP="00540437">
      <w:pPr>
        <w:bidi/>
        <w:spacing w:before="100" w:beforeAutospacing="1" w:after="100" w:afterAutospacing="1" w:line="240" w:lineRule="auto"/>
        <w:rPr>
          <w:rFonts w:ascii="Traditional Arabic" w:eastAsia="Times New Roman" w:hAnsi="Traditional Arabic" w:cs="Traditional Arabic"/>
          <w:sz w:val="32"/>
          <w:szCs w:val="32"/>
          <w:rtl/>
        </w:rPr>
        <w:sectPr w:rsidR="006A1F7A" w:rsidSect="009F79D5">
          <w:headerReference w:type="default" r:id="rId42"/>
          <w:footerReference w:type="default" r:id="rId43"/>
          <w:footnotePr>
            <w:numRestart w:val="eachPage"/>
          </w:footnotePr>
          <w:pgSz w:w="11907" w:h="16839" w:code="9"/>
          <w:pgMar w:top="1440" w:right="1440" w:bottom="1440" w:left="1440" w:header="720" w:footer="720" w:gutter="0"/>
          <w:cols w:space="720"/>
          <w:docGrid w:linePitch="360"/>
        </w:sectPr>
      </w:pPr>
    </w:p>
    <w:p w14:paraId="60B4EF15" w14:textId="77777777" w:rsidR="0091194F" w:rsidRDefault="0091194F" w:rsidP="00540437">
      <w:pPr>
        <w:bidi/>
        <w:spacing w:after="0" w:line="240" w:lineRule="auto"/>
        <w:rPr>
          <w:rFonts w:ascii="Traditional Arabic" w:eastAsia="Times New Roman" w:hAnsi="Traditional Arabic" w:cs="Traditional Arabic"/>
          <w:b/>
          <w:bCs/>
          <w:sz w:val="36"/>
          <w:szCs w:val="36"/>
          <w:rtl/>
        </w:rPr>
      </w:pPr>
      <w:r>
        <w:rPr>
          <w:rFonts w:ascii="Traditional Arabic" w:eastAsia="Times New Roman" w:hAnsi="Traditional Arabic" w:cs="Traditional Arabic"/>
          <w:b/>
          <w:bCs/>
          <w:sz w:val="36"/>
          <w:szCs w:val="36"/>
          <w:rtl/>
        </w:rPr>
        <w:lastRenderedPageBreak/>
        <w:t xml:space="preserve">قائمة المراجع </w:t>
      </w:r>
    </w:p>
    <w:p w14:paraId="1844E8F3" w14:textId="77777777" w:rsidR="00A84008" w:rsidRDefault="00A84008" w:rsidP="00540437">
      <w:pPr>
        <w:bidi/>
        <w:spacing w:after="0" w:line="240" w:lineRule="auto"/>
        <w:rPr>
          <w:rFonts w:ascii="Traditional Arabic" w:eastAsia="Times New Roman" w:hAnsi="Traditional Arabic" w:cs="Traditional Arabic"/>
          <w:b/>
          <w:bCs/>
          <w:sz w:val="36"/>
          <w:szCs w:val="36"/>
          <w:rtl/>
        </w:rPr>
      </w:pPr>
      <w:r>
        <w:rPr>
          <w:rFonts w:ascii="Traditional Arabic" w:eastAsia="Times New Roman" w:hAnsi="Traditional Arabic" w:cs="Traditional Arabic"/>
          <w:b/>
          <w:bCs/>
          <w:sz w:val="36"/>
          <w:szCs w:val="36"/>
          <w:rtl/>
        </w:rPr>
        <w:t>المراجع العربية:</w:t>
      </w:r>
    </w:p>
    <w:p w14:paraId="26A97078" w14:textId="77777777" w:rsidR="00A84008" w:rsidRPr="00A84008" w:rsidRDefault="0099106E" w:rsidP="0099106E">
      <w:pPr>
        <w:pStyle w:val="Paragraphedeliste"/>
        <w:numPr>
          <w:ilvl w:val="0"/>
          <w:numId w:val="55"/>
        </w:numPr>
        <w:bidi/>
        <w:spacing w:after="0"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hint="cs"/>
          <w:sz w:val="32"/>
          <w:szCs w:val="32"/>
          <w:rtl/>
        </w:rPr>
        <w:t>ع</w:t>
      </w:r>
      <w:r>
        <w:rPr>
          <w:rFonts w:ascii="Traditional Arabic" w:eastAsia="Times New Roman" w:hAnsi="Traditional Arabic" w:cs="Traditional Arabic"/>
          <w:sz w:val="32"/>
          <w:szCs w:val="32"/>
          <w:rtl/>
        </w:rPr>
        <w:t xml:space="preserve">بد السلام خليل، </w:t>
      </w:r>
      <w:r>
        <w:rPr>
          <w:rFonts w:ascii="Traditional Arabic" w:eastAsia="Times New Roman" w:hAnsi="Traditional Arabic" w:cs="Traditional Arabic"/>
          <w:i/>
          <w:iCs/>
          <w:sz w:val="32"/>
          <w:szCs w:val="32"/>
          <w:rtl/>
        </w:rPr>
        <w:t xml:space="preserve">التمويل </w:t>
      </w:r>
      <w:proofErr w:type="spellStart"/>
      <w:r>
        <w:rPr>
          <w:rFonts w:ascii="Traditional Arabic" w:eastAsia="Times New Roman" w:hAnsi="Traditional Arabic" w:cs="Traditional Arabic"/>
          <w:i/>
          <w:iCs/>
          <w:sz w:val="32"/>
          <w:szCs w:val="32"/>
          <w:rtl/>
        </w:rPr>
        <w:t>المهيكل</w:t>
      </w:r>
      <w:proofErr w:type="spellEnd"/>
      <w:r>
        <w:rPr>
          <w:rFonts w:ascii="Traditional Arabic" w:eastAsia="Times New Roman" w:hAnsi="Traditional Arabic" w:cs="Traditional Arabic"/>
          <w:i/>
          <w:iCs/>
          <w:sz w:val="32"/>
          <w:szCs w:val="32"/>
          <w:rtl/>
        </w:rPr>
        <w:t xml:space="preserve"> وأدوات الهندسة المالية</w:t>
      </w:r>
      <w:r>
        <w:rPr>
          <w:rFonts w:ascii="Traditional Arabic" w:eastAsia="Times New Roman" w:hAnsi="Traditional Arabic" w:cs="Traditional Arabic"/>
          <w:sz w:val="32"/>
          <w:szCs w:val="32"/>
          <w:rtl/>
        </w:rPr>
        <w:t>، دار الأكاديمية، عمّان، 2016، ص 44</w:t>
      </w:r>
      <w:r>
        <w:rPr>
          <w:rFonts w:ascii="Traditional Arabic" w:eastAsia="Times New Roman" w:hAnsi="Traditional Arabic" w:cs="Traditional Arabic"/>
          <w:sz w:val="32"/>
          <w:szCs w:val="32"/>
        </w:rPr>
        <w:t>.</w:t>
      </w:r>
    </w:p>
    <w:p w14:paraId="4D4C7C4B" w14:textId="77777777" w:rsidR="00A84008" w:rsidRPr="00A84008" w:rsidRDefault="00A84008" w:rsidP="00540437">
      <w:pPr>
        <w:pStyle w:val="Paragraphedeliste"/>
        <w:numPr>
          <w:ilvl w:val="0"/>
          <w:numId w:val="55"/>
        </w:numPr>
        <w:bidi/>
        <w:spacing w:before="100" w:beforeAutospacing="1" w:after="100" w:afterAutospacing="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عبد الحميد علي موسى، </w:t>
      </w:r>
      <w:r>
        <w:rPr>
          <w:rFonts w:ascii="Traditional Arabic" w:eastAsia="Times New Roman" w:hAnsi="Traditional Arabic" w:cs="Traditional Arabic"/>
          <w:i/>
          <w:iCs/>
          <w:sz w:val="32"/>
          <w:szCs w:val="32"/>
          <w:rtl/>
        </w:rPr>
        <w:t>الهندسة المالية: المفاهيم والأدوات والتطبيقات</w:t>
      </w:r>
      <w:r>
        <w:rPr>
          <w:rFonts w:ascii="Traditional Arabic" w:eastAsia="Times New Roman" w:hAnsi="Traditional Arabic" w:cs="Traditional Arabic"/>
          <w:sz w:val="32"/>
          <w:szCs w:val="32"/>
          <w:rtl/>
        </w:rPr>
        <w:t>، دار الفكر الجامعي، القاهرة، 2018، ص 112</w:t>
      </w:r>
      <w:r>
        <w:rPr>
          <w:rFonts w:ascii="Traditional Arabic" w:eastAsia="Times New Roman" w:hAnsi="Traditional Arabic" w:cs="Traditional Arabic"/>
          <w:sz w:val="32"/>
          <w:szCs w:val="32"/>
        </w:rPr>
        <w:t>.</w:t>
      </w:r>
    </w:p>
    <w:p w14:paraId="0A4914C7" w14:textId="77777777" w:rsidR="00A84008" w:rsidRPr="00A84008" w:rsidRDefault="00A84008" w:rsidP="00540437">
      <w:pPr>
        <w:pStyle w:val="Paragraphedeliste"/>
        <w:numPr>
          <w:ilvl w:val="0"/>
          <w:numId w:val="55"/>
        </w:numPr>
        <w:bidi/>
        <w:spacing w:before="100" w:beforeAutospacing="1" w:after="100" w:afterAutospacing="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محمد عبد النبي، </w:t>
      </w:r>
      <w:r>
        <w:rPr>
          <w:rFonts w:ascii="Traditional Arabic" w:eastAsia="Times New Roman" w:hAnsi="Traditional Arabic" w:cs="Traditional Arabic"/>
          <w:i/>
          <w:iCs/>
          <w:sz w:val="32"/>
          <w:szCs w:val="32"/>
          <w:rtl/>
        </w:rPr>
        <w:t>أسواق الأوراق المالية: المبادئ والأدوات</w:t>
      </w:r>
      <w:r>
        <w:rPr>
          <w:rFonts w:ascii="Traditional Arabic" w:eastAsia="Times New Roman" w:hAnsi="Traditional Arabic" w:cs="Traditional Arabic"/>
          <w:sz w:val="32"/>
          <w:szCs w:val="32"/>
          <w:rtl/>
        </w:rPr>
        <w:t>، دار الجامعة الجديدة، القاهرة، 2015، ص 73</w:t>
      </w:r>
      <w:r>
        <w:rPr>
          <w:rFonts w:ascii="Traditional Arabic" w:eastAsia="Times New Roman" w:hAnsi="Traditional Arabic" w:cs="Traditional Arabic"/>
          <w:sz w:val="32"/>
          <w:szCs w:val="32"/>
        </w:rPr>
        <w:t>.</w:t>
      </w:r>
    </w:p>
    <w:p w14:paraId="30AECD5E" w14:textId="77777777" w:rsidR="00A84008" w:rsidRPr="00A84008" w:rsidRDefault="00A84008" w:rsidP="00540437">
      <w:pPr>
        <w:pStyle w:val="Paragraphedeliste"/>
        <w:numPr>
          <w:ilvl w:val="0"/>
          <w:numId w:val="55"/>
        </w:numPr>
        <w:bidi/>
        <w:spacing w:before="100" w:beforeAutospacing="1" w:after="100" w:afterAutospacing="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عبد الرحمن يسري، </w:t>
      </w:r>
      <w:r>
        <w:rPr>
          <w:rFonts w:ascii="Traditional Arabic" w:eastAsia="Times New Roman" w:hAnsi="Traditional Arabic" w:cs="Traditional Arabic"/>
          <w:i/>
          <w:iCs/>
          <w:sz w:val="32"/>
          <w:szCs w:val="32"/>
          <w:rtl/>
        </w:rPr>
        <w:t>الاقتصاد المالي وأسواق المال</w:t>
      </w:r>
      <w:r>
        <w:rPr>
          <w:rFonts w:ascii="Traditional Arabic" w:eastAsia="Times New Roman" w:hAnsi="Traditional Arabic" w:cs="Traditional Arabic"/>
          <w:sz w:val="32"/>
          <w:szCs w:val="32"/>
          <w:rtl/>
        </w:rPr>
        <w:t>، دار الصفاء، بيروت، 2014، ص 201</w:t>
      </w:r>
      <w:r>
        <w:rPr>
          <w:rFonts w:ascii="Traditional Arabic" w:eastAsia="Times New Roman" w:hAnsi="Traditional Arabic" w:cs="Traditional Arabic"/>
          <w:sz w:val="32"/>
          <w:szCs w:val="32"/>
        </w:rPr>
        <w:t>.</w:t>
      </w:r>
    </w:p>
    <w:p w14:paraId="3D095608" w14:textId="77777777" w:rsidR="00A84008" w:rsidRPr="00A84008" w:rsidRDefault="00A84008" w:rsidP="00540437">
      <w:pPr>
        <w:pStyle w:val="Paragraphedeliste"/>
        <w:numPr>
          <w:ilvl w:val="0"/>
          <w:numId w:val="55"/>
        </w:numPr>
        <w:bidi/>
        <w:spacing w:before="100" w:beforeAutospacing="1" w:after="100" w:afterAutospacing="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الطيب خوري، </w:t>
      </w:r>
      <w:r>
        <w:rPr>
          <w:rFonts w:ascii="Traditional Arabic" w:eastAsia="Times New Roman" w:hAnsi="Traditional Arabic" w:cs="Traditional Arabic"/>
          <w:i/>
          <w:iCs/>
          <w:sz w:val="32"/>
          <w:szCs w:val="32"/>
          <w:rtl/>
        </w:rPr>
        <w:t>إدارة مخاطر الائتمان في البنوك التجارية</w:t>
      </w:r>
      <w:r>
        <w:rPr>
          <w:rFonts w:ascii="Traditional Arabic" w:eastAsia="Times New Roman" w:hAnsi="Traditional Arabic" w:cs="Traditional Arabic"/>
          <w:sz w:val="32"/>
          <w:szCs w:val="32"/>
          <w:rtl/>
        </w:rPr>
        <w:t>، دار الرشد، بيروت، 2017، ص 167</w:t>
      </w:r>
      <w:r>
        <w:rPr>
          <w:rFonts w:ascii="Traditional Arabic" w:eastAsia="Times New Roman" w:hAnsi="Traditional Arabic" w:cs="Traditional Arabic"/>
          <w:sz w:val="32"/>
          <w:szCs w:val="32"/>
        </w:rPr>
        <w:t>.</w:t>
      </w:r>
    </w:p>
    <w:p w14:paraId="2A36444E" w14:textId="77777777" w:rsidR="00A84008" w:rsidRPr="00A84008" w:rsidRDefault="00A84008" w:rsidP="00540437">
      <w:pPr>
        <w:pStyle w:val="Paragraphedeliste"/>
        <w:numPr>
          <w:ilvl w:val="0"/>
          <w:numId w:val="55"/>
        </w:numPr>
        <w:bidi/>
        <w:spacing w:before="100" w:beforeAutospacing="1" w:after="100" w:afterAutospacing="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عبد الله الشلوي، </w:t>
      </w:r>
      <w:r>
        <w:rPr>
          <w:rFonts w:ascii="Traditional Arabic" w:eastAsia="Times New Roman" w:hAnsi="Traditional Arabic" w:cs="Traditional Arabic"/>
          <w:i/>
          <w:iCs/>
          <w:sz w:val="32"/>
          <w:szCs w:val="32"/>
          <w:rtl/>
        </w:rPr>
        <w:t>التوريق ودوره في تنويع الأدوات المالية</w:t>
      </w:r>
      <w:r>
        <w:rPr>
          <w:rFonts w:ascii="Traditional Arabic" w:eastAsia="Times New Roman" w:hAnsi="Traditional Arabic" w:cs="Traditional Arabic"/>
          <w:sz w:val="32"/>
          <w:szCs w:val="32"/>
          <w:rtl/>
        </w:rPr>
        <w:t>، مكتبة العبيكان، الرياض، 2020، ص 91</w:t>
      </w:r>
      <w:r>
        <w:rPr>
          <w:rFonts w:ascii="Traditional Arabic" w:eastAsia="Times New Roman" w:hAnsi="Traditional Arabic" w:cs="Traditional Arabic"/>
          <w:sz w:val="32"/>
          <w:szCs w:val="32"/>
        </w:rPr>
        <w:t>.</w:t>
      </w:r>
    </w:p>
    <w:p w14:paraId="7EE71E2D" w14:textId="77777777" w:rsidR="00A84008" w:rsidRPr="00A84008" w:rsidRDefault="00A84008" w:rsidP="00540437">
      <w:pPr>
        <w:pStyle w:val="Paragraphedeliste"/>
        <w:numPr>
          <w:ilvl w:val="0"/>
          <w:numId w:val="55"/>
        </w:numPr>
        <w:bidi/>
        <w:spacing w:before="100" w:beforeAutospacing="1" w:after="100" w:afterAutospacing="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زياد عرفة، الاستقرار المالي وإدارة المخاطر، دار الحامد، عمّان، 2017، ص 141</w:t>
      </w:r>
      <w:r>
        <w:rPr>
          <w:rFonts w:ascii="Traditional Arabic" w:eastAsia="Times New Roman" w:hAnsi="Traditional Arabic" w:cs="Traditional Arabic"/>
          <w:sz w:val="32"/>
          <w:szCs w:val="32"/>
        </w:rPr>
        <w:t>.</w:t>
      </w:r>
    </w:p>
    <w:p w14:paraId="037DAD3F"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قيس حداد، </w:t>
      </w:r>
      <w:r>
        <w:rPr>
          <w:rFonts w:ascii="Traditional Arabic" w:eastAsia="Times New Roman" w:hAnsi="Traditional Arabic" w:cs="Traditional Arabic"/>
          <w:i/>
          <w:iCs/>
          <w:sz w:val="32"/>
          <w:szCs w:val="32"/>
          <w:rtl/>
        </w:rPr>
        <w:t>إدارة المخاطر المصرفية</w:t>
      </w:r>
      <w:r>
        <w:rPr>
          <w:rFonts w:ascii="Traditional Arabic" w:eastAsia="Times New Roman" w:hAnsi="Traditional Arabic" w:cs="Traditional Arabic"/>
          <w:sz w:val="32"/>
          <w:szCs w:val="32"/>
          <w:rtl/>
        </w:rPr>
        <w:t xml:space="preserve">، دار النمو، عمّان، 2018، ص </w:t>
      </w:r>
      <w:r>
        <w:rPr>
          <w:rFonts w:ascii="Traditional Arabic" w:eastAsia="Times New Roman" w:hAnsi="Traditional Arabic" w:cs="Traditional Arabic"/>
          <w:sz w:val="32"/>
          <w:szCs w:val="32"/>
        </w:rPr>
        <w:t>131.</w:t>
      </w:r>
    </w:p>
    <w:p w14:paraId="076BF7F9"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أحمد بشير، </w:t>
      </w:r>
      <w:r>
        <w:rPr>
          <w:rFonts w:ascii="Traditional Arabic" w:eastAsia="Times New Roman" w:hAnsi="Traditional Arabic" w:cs="Traditional Arabic"/>
          <w:i/>
          <w:iCs/>
          <w:sz w:val="32"/>
          <w:szCs w:val="32"/>
          <w:rtl/>
        </w:rPr>
        <w:t>الهندسة المالية المعاصرة</w:t>
      </w:r>
      <w:r>
        <w:rPr>
          <w:rFonts w:ascii="Traditional Arabic" w:eastAsia="Times New Roman" w:hAnsi="Traditional Arabic" w:cs="Traditional Arabic"/>
          <w:sz w:val="32"/>
          <w:szCs w:val="32"/>
          <w:rtl/>
        </w:rPr>
        <w:t xml:space="preserve">، دار الراية، الرياض، 2019، ص </w:t>
      </w:r>
      <w:r>
        <w:rPr>
          <w:rFonts w:ascii="Traditional Arabic" w:eastAsia="Times New Roman" w:hAnsi="Traditional Arabic" w:cs="Traditional Arabic"/>
          <w:sz w:val="32"/>
          <w:szCs w:val="32"/>
        </w:rPr>
        <w:t>133.</w:t>
      </w:r>
    </w:p>
    <w:p w14:paraId="5414B3C4"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خالد عبد المنعم، </w:t>
      </w:r>
      <w:r>
        <w:rPr>
          <w:rFonts w:ascii="Traditional Arabic" w:eastAsia="Times New Roman" w:hAnsi="Traditional Arabic" w:cs="Traditional Arabic"/>
          <w:i/>
          <w:iCs/>
          <w:sz w:val="32"/>
          <w:szCs w:val="32"/>
          <w:rtl/>
        </w:rPr>
        <w:t>الأسواق المالية وإدارة المحافظ</w:t>
      </w:r>
      <w:r>
        <w:rPr>
          <w:rFonts w:ascii="Traditional Arabic" w:eastAsia="Times New Roman" w:hAnsi="Traditional Arabic" w:cs="Traditional Arabic"/>
          <w:sz w:val="32"/>
          <w:szCs w:val="32"/>
          <w:rtl/>
        </w:rPr>
        <w:t>، دار البشائر، القاهرة، 2017، ص 201</w:t>
      </w:r>
      <w:r>
        <w:rPr>
          <w:rFonts w:ascii="Traditional Arabic" w:eastAsia="Times New Roman" w:hAnsi="Traditional Arabic" w:cs="Traditional Arabic"/>
          <w:sz w:val="32"/>
          <w:szCs w:val="32"/>
        </w:rPr>
        <w:t>.</w:t>
      </w:r>
    </w:p>
    <w:p w14:paraId="39415BC4"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نبيل مراد، </w:t>
      </w:r>
      <w:r>
        <w:rPr>
          <w:rFonts w:ascii="Traditional Arabic" w:eastAsia="Times New Roman" w:hAnsi="Traditional Arabic" w:cs="Traditional Arabic"/>
          <w:i/>
          <w:iCs/>
          <w:sz w:val="32"/>
          <w:szCs w:val="32"/>
          <w:rtl/>
        </w:rPr>
        <w:t>إدارة المخاطر والرقابة المصرفية</w:t>
      </w:r>
      <w:r>
        <w:rPr>
          <w:rFonts w:ascii="Traditional Arabic" w:eastAsia="Times New Roman" w:hAnsi="Traditional Arabic" w:cs="Traditional Arabic"/>
          <w:sz w:val="32"/>
          <w:szCs w:val="32"/>
          <w:rtl/>
        </w:rPr>
        <w:t>، دار اليازوري، عمّان، 2020، ص 146</w:t>
      </w:r>
      <w:r>
        <w:rPr>
          <w:rFonts w:ascii="Traditional Arabic" w:eastAsia="Times New Roman" w:hAnsi="Traditional Arabic" w:cs="Traditional Arabic"/>
          <w:sz w:val="32"/>
          <w:szCs w:val="32"/>
        </w:rPr>
        <w:t>.</w:t>
      </w:r>
    </w:p>
    <w:p w14:paraId="1B6A47D2"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حامد خليل، </w:t>
      </w:r>
      <w:r>
        <w:rPr>
          <w:rFonts w:ascii="Traditional Arabic" w:eastAsia="Times New Roman" w:hAnsi="Traditional Arabic" w:cs="Traditional Arabic"/>
          <w:i/>
          <w:iCs/>
          <w:sz w:val="32"/>
          <w:szCs w:val="32"/>
          <w:rtl/>
        </w:rPr>
        <w:t>عمليات البنوك المعاصرة</w:t>
      </w:r>
      <w:r>
        <w:rPr>
          <w:rFonts w:ascii="Traditional Arabic" w:eastAsia="Times New Roman" w:hAnsi="Traditional Arabic" w:cs="Traditional Arabic"/>
          <w:sz w:val="32"/>
          <w:szCs w:val="32"/>
          <w:rtl/>
        </w:rPr>
        <w:t>، مكتبة الأفق، الإسكندرية، 2016، ص 221</w:t>
      </w:r>
      <w:r>
        <w:rPr>
          <w:rFonts w:ascii="Traditional Arabic" w:eastAsia="Times New Roman" w:hAnsi="Traditional Arabic" w:cs="Traditional Arabic"/>
          <w:sz w:val="32"/>
          <w:szCs w:val="32"/>
        </w:rPr>
        <w:t>.</w:t>
      </w:r>
    </w:p>
    <w:p w14:paraId="5752000E"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مصطفى الخطيب، </w:t>
      </w:r>
      <w:r>
        <w:rPr>
          <w:rFonts w:ascii="Traditional Arabic" w:eastAsia="Times New Roman" w:hAnsi="Traditional Arabic" w:cs="Traditional Arabic"/>
          <w:i/>
          <w:iCs/>
          <w:sz w:val="32"/>
          <w:szCs w:val="32"/>
          <w:rtl/>
        </w:rPr>
        <w:t>إدارة مخاطر الائتمان والسيولة</w:t>
      </w:r>
      <w:r>
        <w:rPr>
          <w:rFonts w:ascii="Traditional Arabic" w:eastAsia="Times New Roman" w:hAnsi="Traditional Arabic" w:cs="Traditional Arabic"/>
          <w:sz w:val="32"/>
          <w:szCs w:val="32"/>
          <w:rtl/>
        </w:rPr>
        <w:t>، دار الصفوة، القاهرة، 2017، ص 88</w:t>
      </w:r>
      <w:r>
        <w:rPr>
          <w:rFonts w:ascii="Traditional Arabic" w:eastAsia="Times New Roman" w:hAnsi="Traditional Arabic" w:cs="Traditional Arabic"/>
          <w:sz w:val="32"/>
          <w:szCs w:val="32"/>
        </w:rPr>
        <w:t>.</w:t>
      </w:r>
    </w:p>
    <w:p w14:paraId="7FD8FED6" w14:textId="77777777" w:rsidR="00A84008" w:rsidRPr="00A84008" w:rsidRDefault="00A84008" w:rsidP="00540437">
      <w:pPr>
        <w:pStyle w:val="Paragraphedeliste"/>
        <w:numPr>
          <w:ilvl w:val="0"/>
          <w:numId w:val="55"/>
        </w:numPr>
        <w:bidi/>
        <w:spacing w:before="100" w:beforeAutospacing="1" w:after="100" w:afterAutospacing="1"/>
        <w:rPr>
          <w:rFonts w:ascii="Traditional Arabic" w:eastAsia="Times New Roman" w:hAnsi="Traditional Arabic" w:cs="Traditional Arabic"/>
          <w:sz w:val="32"/>
          <w:szCs w:val="32"/>
        </w:rPr>
      </w:pPr>
      <w:r>
        <w:rPr>
          <w:rFonts w:ascii="Traditional Arabic" w:eastAsia="Times New Roman" w:hAnsi="Traditional Arabic" w:cs="Traditional Arabic"/>
          <w:sz w:val="32"/>
          <w:szCs w:val="32"/>
          <w:rtl/>
        </w:rPr>
        <w:t xml:space="preserve">قنطاري، </w:t>
      </w:r>
      <w:r>
        <w:rPr>
          <w:rFonts w:ascii="Traditional Arabic" w:eastAsia="Times New Roman" w:hAnsi="Traditional Arabic" w:cs="Traditional Arabic"/>
          <w:i/>
          <w:iCs/>
          <w:sz w:val="32"/>
          <w:szCs w:val="32"/>
          <w:rtl/>
        </w:rPr>
        <w:t>الأدوات المالية الحديثة وتطبيقاتها</w:t>
      </w:r>
      <w:r>
        <w:rPr>
          <w:rFonts w:ascii="Traditional Arabic" w:eastAsia="Times New Roman" w:hAnsi="Traditional Arabic" w:cs="Traditional Arabic"/>
          <w:sz w:val="32"/>
          <w:szCs w:val="32"/>
          <w:rtl/>
        </w:rPr>
        <w:t>، دار الفجر، بيروت، 2018، ص 104</w:t>
      </w:r>
      <w:r>
        <w:rPr>
          <w:rFonts w:ascii="Traditional Arabic" w:eastAsia="Times New Roman" w:hAnsi="Traditional Arabic" w:cs="Traditional Arabic"/>
          <w:sz w:val="32"/>
          <w:szCs w:val="32"/>
        </w:rPr>
        <w:t>.</w:t>
      </w:r>
    </w:p>
    <w:p w14:paraId="42B54B35"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lang w:val="fr-FR"/>
        </w:rPr>
      </w:pPr>
      <w:proofErr w:type="spellStart"/>
      <w:r>
        <w:rPr>
          <w:rFonts w:ascii="Traditional Arabic" w:eastAsia="Times New Roman" w:hAnsi="Traditional Arabic" w:cs="Traditional Arabic"/>
          <w:sz w:val="32"/>
          <w:szCs w:val="32"/>
          <w:rtl/>
        </w:rPr>
        <w:t>بوزياني</w:t>
      </w:r>
      <w:proofErr w:type="spellEnd"/>
      <w:r>
        <w:rPr>
          <w:rFonts w:ascii="Traditional Arabic" w:eastAsia="Times New Roman" w:hAnsi="Traditional Arabic" w:cs="Traditional Arabic"/>
          <w:sz w:val="32"/>
          <w:szCs w:val="32"/>
          <w:rtl/>
        </w:rPr>
        <w:t xml:space="preserve"> محمد وحليلو عبد القادر، “التوريق المالي في النظام المصرفي الجزائري: الواقع والآفاق”، مجلة البحوث الاقتصادية، المجلد 14، العدد 2، 2022.</w:t>
      </w:r>
    </w:p>
    <w:p w14:paraId="401306A6"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lang w:val="fr-FR"/>
        </w:rPr>
      </w:pPr>
      <w:proofErr w:type="spellStart"/>
      <w:r>
        <w:rPr>
          <w:rFonts w:ascii="Traditional Arabic" w:eastAsia="Times New Roman" w:hAnsi="Traditional Arabic" w:cs="Traditional Arabic"/>
          <w:sz w:val="32"/>
          <w:szCs w:val="32"/>
          <w:rtl/>
        </w:rPr>
        <w:t>الجلنابي</w:t>
      </w:r>
      <w:proofErr w:type="spellEnd"/>
      <w:r>
        <w:rPr>
          <w:rFonts w:ascii="Traditional Arabic" w:eastAsia="Times New Roman" w:hAnsi="Traditional Arabic" w:cs="Traditional Arabic"/>
          <w:sz w:val="32"/>
          <w:szCs w:val="32"/>
          <w:rtl/>
        </w:rPr>
        <w:t>، علاء الدين جاسم، “التوريق كأداة لإدارة مخاطر الائتمان في المصارف التجارية”، أطروحة دكتوراه، جامعة بغداد، 2021.</w:t>
      </w:r>
    </w:p>
    <w:p w14:paraId="34F2D257"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lang w:val="fr-FR"/>
        </w:rPr>
      </w:pPr>
      <w:proofErr w:type="spellStart"/>
      <w:r>
        <w:rPr>
          <w:rFonts w:ascii="Traditional Arabic" w:eastAsia="Times New Roman" w:hAnsi="Traditional Arabic" w:cs="Traditional Arabic"/>
          <w:sz w:val="32"/>
          <w:szCs w:val="32"/>
          <w:rtl/>
        </w:rPr>
        <w:t>السبوسي</w:t>
      </w:r>
      <w:proofErr w:type="spellEnd"/>
      <w:r>
        <w:rPr>
          <w:rFonts w:ascii="Traditional Arabic" w:eastAsia="Times New Roman" w:hAnsi="Traditional Arabic" w:cs="Traditional Arabic"/>
          <w:sz w:val="32"/>
          <w:szCs w:val="32"/>
          <w:rtl/>
        </w:rPr>
        <w:t>، سعيد سيف، “نظام التوريق كمصدر من مصادر التمويل في الاقتصاد الحديث”، مجلة الدراسات المالية، جامعة الإمارات، 2019.</w:t>
      </w:r>
    </w:p>
    <w:p w14:paraId="627C2ABF"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 xml:space="preserve">السويلم، سامي، “الضوابط الشرعية لعملية توريق الديون وتطبيقاتها في المصارف </w:t>
      </w:r>
      <w:proofErr w:type="spellStart"/>
      <w:r>
        <w:rPr>
          <w:rFonts w:ascii="Traditional Arabic" w:eastAsia="Times New Roman" w:hAnsi="Traditional Arabic" w:cs="Traditional Arabic"/>
          <w:sz w:val="32"/>
          <w:szCs w:val="32"/>
          <w:rtl/>
        </w:rPr>
        <w:t>الإسالمية</w:t>
      </w:r>
      <w:proofErr w:type="spellEnd"/>
      <w:r>
        <w:rPr>
          <w:rFonts w:ascii="Traditional Arabic" w:eastAsia="Times New Roman" w:hAnsi="Traditional Arabic" w:cs="Traditional Arabic"/>
          <w:sz w:val="32"/>
          <w:szCs w:val="32"/>
          <w:rtl/>
        </w:rPr>
        <w:t>”، مجلة الاقتصاد الإسلامي، 2020.</w:t>
      </w:r>
    </w:p>
    <w:p w14:paraId="5080C4BE"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 xml:space="preserve">عبد السلام خليل، التمويل </w:t>
      </w:r>
      <w:proofErr w:type="spellStart"/>
      <w:r>
        <w:rPr>
          <w:rFonts w:ascii="Traditional Arabic" w:eastAsia="Times New Roman" w:hAnsi="Traditional Arabic" w:cs="Traditional Arabic"/>
          <w:sz w:val="32"/>
          <w:szCs w:val="32"/>
          <w:rtl/>
        </w:rPr>
        <w:t>المهيكل</w:t>
      </w:r>
      <w:proofErr w:type="spellEnd"/>
      <w:r>
        <w:rPr>
          <w:rFonts w:ascii="Traditional Arabic" w:eastAsia="Times New Roman" w:hAnsi="Traditional Arabic" w:cs="Traditional Arabic"/>
          <w:sz w:val="32"/>
          <w:szCs w:val="32"/>
          <w:rtl/>
        </w:rPr>
        <w:t xml:space="preserve"> وأدوات الهندسة المالية، دار الأكاديمية، عمّان، 2016.</w:t>
      </w:r>
    </w:p>
    <w:p w14:paraId="77088151"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lastRenderedPageBreak/>
        <w:t>عبد الحميد علي موسى، الهندسة المالية: المفاهيم والأدوات والتطبيقات، دار الفكر الجامعي، القاهرة، 2018.</w:t>
      </w:r>
    </w:p>
    <w:p w14:paraId="1C55E788"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عبد الله الشلوي، التوريق ودوره في تنويع الأدوات المالية، مكتبة العبيكان، الرياض، 2020.</w:t>
      </w:r>
    </w:p>
    <w:p w14:paraId="269FFD7C"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الطيب خوري، إدارة مخاطر الائتمان في البنوك التجارية، دار الرشد، بيروت، 2017.</w:t>
      </w:r>
    </w:p>
    <w:p w14:paraId="62CC56E9" w14:textId="77777777" w:rsidR="00A84008" w:rsidRPr="00A84008" w:rsidRDefault="00A84008" w:rsidP="00540437">
      <w:pPr>
        <w:pStyle w:val="Paragraphedeliste"/>
        <w:numPr>
          <w:ilvl w:val="0"/>
          <w:numId w:val="55"/>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نبيل مراد، إدارة المخاطر والرقابة المصرفية، دار اليازوري، عمّان، 2020.</w:t>
      </w:r>
    </w:p>
    <w:p w14:paraId="542F12D1" w14:textId="77777777" w:rsidR="00A84008" w:rsidRPr="00A84008" w:rsidRDefault="00A84008" w:rsidP="0099106E">
      <w:pPr>
        <w:pStyle w:val="Paragraphedeliste"/>
        <w:numPr>
          <w:ilvl w:val="0"/>
          <w:numId w:val="55"/>
        </w:numPr>
        <w:bidi/>
        <w:spacing w:after="0"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قنطاري، الأدوات المالية الحديثة وتطبيقاتها، دار الفجر، بيروت، 2018.</w:t>
      </w:r>
    </w:p>
    <w:p w14:paraId="2CF1C487" w14:textId="77777777" w:rsidR="00A84008" w:rsidRPr="00A84008" w:rsidRDefault="00A84008" w:rsidP="0099106E">
      <w:pPr>
        <w:bidi/>
        <w:spacing w:after="0" w:line="240" w:lineRule="auto"/>
        <w:rPr>
          <w:rFonts w:ascii="Traditional Arabic" w:eastAsia="Times New Roman" w:hAnsi="Traditional Arabic" w:cs="Traditional Arabic"/>
          <w:b/>
          <w:bCs/>
          <w:sz w:val="36"/>
          <w:szCs w:val="36"/>
          <w:lang w:val="fr-FR"/>
        </w:rPr>
      </w:pPr>
      <w:r>
        <w:rPr>
          <w:rFonts w:ascii="Traditional Arabic" w:eastAsia="Times New Roman" w:hAnsi="Traditional Arabic" w:cs="Traditional Arabic"/>
          <w:b/>
          <w:bCs/>
          <w:sz w:val="36"/>
          <w:szCs w:val="36"/>
          <w:rtl/>
        </w:rPr>
        <w:t>التقارير والوثائق الرسمية:</w:t>
      </w:r>
    </w:p>
    <w:p w14:paraId="520D3866" w14:textId="77777777" w:rsidR="00A84008" w:rsidRPr="00A84008" w:rsidRDefault="00A84008" w:rsidP="00540437">
      <w:pPr>
        <w:pStyle w:val="Paragraphedeliste"/>
        <w:numPr>
          <w:ilvl w:val="0"/>
          <w:numId w:val="56"/>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البنك الأهلي السعودي (SNB)، التقرير السنوي 2023، الرياض.</w:t>
      </w:r>
    </w:p>
    <w:p w14:paraId="60397439" w14:textId="77777777" w:rsidR="00A84008" w:rsidRPr="00A84008" w:rsidRDefault="00A84008" w:rsidP="00540437">
      <w:pPr>
        <w:pStyle w:val="Paragraphedeliste"/>
        <w:numPr>
          <w:ilvl w:val="0"/>
          <w:numId w:val="56"/>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البنك الأهلي السعودي (SNB)، التقارير السنوية 2019–2022، الرياض.</w:t>
      </w:r>
    </w:p>
    <w:p w14:paraId="172CA060" w14:textId="77777777" w:rsidR="00A84008" w:rsidRPr="00A84008" w:rsidRDefault="00A84008" w:rsidP="00540437">
      <w:pPr>
        <w:pStyle w:val="Paragraphedeliste"/>
        <w:numPr>
          <w:ilvl w:val="0"/>
          <w:numId w:val="56"/>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هيئة السوق المالية السعودية (CMA)، نشرة إصدار الصكوك المدعومة بالأصول العقارية، 2023.</w:t>
      </w:r>
    </w:p>
    <w:p w14:paraId="26114B68" w14:textId="77777777" w:rsidR="00A84008" w:rsidRPr="00A84008" w:rsidRDefault="00A84008" w:rsidP="00540437">
      <w:pPr>
        <w:pStyle w:val="Paragraphedeliste"/>
        <w:numPr>
          <w:ilvl w:val="0"/>
          <w:numId w:val="56"/>
        </w:numPr>
        <w:bidi/>
        <w:spacing w:before="100" w:beforeAutospacing="1" w:after="100" w:afterAutospacing="1"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البنك المركزي السعودي (ساما)، التقرير السنوي للاستقرار المالي، 2023.</w:t>
      </w:r>
    </w:p>
    <w:p w14:paraId="0086A808" w14:textId="77777777" w:rsidR="00A84008" w:rsidRPr="00A84008" w:rsidRDefault="00A84008" w:rsidP="0099106E">
      <w:pPr>
        <w:pStyle w:val="Paragraphedeliste"/>
        <w:numPr>
          <w:ilvl w:val="0"/>
          <w:numId w:val="56"/>
        </w:numPr>
        <w:bidi/>
        <w:spacing w:after="0" w:line="240" w:lineRule="auto"/>
        <w:rPr>
          <w:rFonts w:ascii="Traditional Arabic" w:eastAsia="Times New Roman" w:hAnsi="Traditional Arabic" w:cs="Traditional Arabic"/>
          <w:sz w:val="32"/>
          <w:szCs w:val="32"/>
          <w:lang w:val="fr-FR"/>
        </w:rPr>
      </w:pPr>
      <w:r>
        <w:rPr>
          <w:rFonts w:ascii="Traditional Arabic" w:eastAsia="Times New Roman" w:hAnsi="Traditional Arabic" w:cs="Traditional Arabic"/>
          <w:sz w:val="32"/>
          <w:szCs w:val="32"/>
          <w:rtl/>
        </w:rPr>
        <w:t>لجنة بازل للرقابة المصرفية، “</w:t>
      </w:r>
      <w:proofErr w:type="spellStart"/>
      <w:r>
        <w:rPr>
          <w:rFonts w:ascii="Traditional Arabic" w:eastAsia="Times New Roman" w:hAnsi="Traditional Arabic" w:cs="Traditional Arabic"/>
          <w:sz w:val="32"/>
          <w:szCs w:val="32"/>
          <w:rtl/>
        </w:rPr>
        <w:t>Basel</w:t>
      </w:r>
      <w:proofErr w:type="spellEnd"/>
      <w:r>
        <w:rPr>
          <w:rFonts w:ascii="Traditional Arabic" w:eastAsia="Times New Roman" w:hAnsi="Traditional Arabic" w:cs="Traditional Arabic"/>
          <w:sz w:val="32"/>
          <w:szCs w:val="32"/>
          <w:rtl/>
        </w:rPr>
        <w:t xml:space="preserve"> III: A </w:t>
      </w:r>
      <w:proofErr w:type="spellStart"/>
      <w:r>
        <w:rPr>
          <w:rFonts w:ascii="Traditional Arabic" w:eastAsia="Times New Roman" w:hAnsi="Traditional Arabic" w:cs="Traditional Arabic"/>
          <w:sz w:val="32"/>
          <w:szCs w:val="32"/>
          <w:rtl/>
        </w:rPr>
        <w:t>global</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regulatory</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framework</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for</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more</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resilient</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banks</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and</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banking</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systems</w:t>
      </w:r>
      <w:proofErr w:type="spellEnd"/>
      <w:r>
        <w:rPr>
          <w:rFonts w:ascii="Traditional Arabic" w:eastAsia="Times New Roman" w:hAnsi="Traditional Arabic" w:cs="Traditional Arabic"/>
          <w:sz w:val="32"/>
          <w:szCs w:val="32"/>
          <w:rtl/>
        </w:rPr>
        <w:t>”، بنك التسويات الدولية، 2011.</w:t>
      </w:r>
    </w:p>
    <w:p w14:paraId="48E8E6D0" w14:textId="77777777" w:rsidR="00A84008" w:rsidRPr="00A84008" w:rsidRDefault="00A84008" w:rsidP="0099106E">
      <w:pPr>
        <w:bidi/>
        <w:spacing w:after="0" w:line="240" w:lineRule="auto"/>
        <w:rPr>
          <w:rFonts w:ascii="Traditional Arabic" w:eastAsia="Times New Roman" w:hAnsi="Traditional Arabic" w:cs="Traditional Arabic"/>
          <w:b/>
          <w:bCs/>
          <w:sz w:val="36"/>
          <w:szCs w:val="36"/>
          <w:lang w:val="fr-FR"/>
        </w:rPr>
      </w:pPr>
      <w:r>
        <w:rPr>
          <w:rFonts w:ascii="Traditional Arabic" w:eastAsia="Times New Roman" w:hAnsi="Traditional Arabic" w:cs="Traditional Arabic"/>
          <w:b/>
          <w:bCs/>
          <w:sz w:val="36"/>
          <w:szCs w:val="36"/>
          <w:rtl/>
        </w:rPr>
        <w:t>المراجع الأجنبية:</w:t>
      </w:r>
    </w:p>
    <w:p w14:paraId="29EBA457" w14:textId="77777777" w:rsidR="00A84008" w:rsidRPr="00A84008" w:rsidRDefault="00A84008" w:rsidP="0099106E">
      <w:pPr>
        <w:pStyle w:val="Paragraphedeliste"/>
        <w:numPr>
          <w:ilvl w:val="0"/>
          <w:numId w:val="57"/>
        </w:numPr>
        <w:spacing w:before="100" w:beforeAutospacing="1" w:after="100" w:afterAutospacing="1" w:line="240" w:lineRule="auto"/>
        <w:rPr>
          <w:rFonts w:ascii="Traditional Arabic" w:eastAsia="Times New Roman" w:hAnsi="Traditional Arabic" w:cs="Traditional Arabic"/>
          <w:sz w:val="32"/>
          <w:szCs w:val="32"/>
        </w:rPr>
      </w:pPr>
      <w:proofErr w:type="spellStart"/>
      <w:r>
        <w:rPr>
          <w:rFonts w:ascii="Traditional Arabic" w:eastAsia="Times New Roman" w:hAnsi="Traditional Arabic" w:cs="Traditional Arabic"/>
          <w:sz w:val="32"/>
          <w:szCs w:val="32"/>
          <w:rtl/>
        </w:rPr>
        <w:t>Altunbas</w:t>
      </w:r>
      <w:proofErr w:type="spellEnd"/>
      <w:r>
        <w:rPr>
          <w:rFonts w:ascii="Traditional Arabic" w:eastAsia="Times New Roman" w:hAnsi="Traditional Arabic" w:cs="Traditional Arabic"/>
          <w:sz w:val="32"/>
          <w:szCs w:val="32"/>
          <w:rtl/>
        </w:rPr>
        <w:t xml:space="preserve">, Y. </w:t>
      </w:r>
      <w:proofErr w:type="spellStart"/>
      <w:r>
        <w:rPr>
          <w:rFonts w:ascii="Traditional Arabic" w:eastAsia="Times New Roman" w:hAnsi="Traditional Arabic" w:cs="Traditional Arabic"/>
          <w:sz w:val="32"/>
          <w:szCs w:val="32"/>
          <w:rtl/>
        </w:rPr>
        <w:t>et</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al</w:t>
      </w:r>
      <w:proofErr w:type="spellEnd"/>
      <w:r>
        <w:rPr>
          <w:rFonts w:ascii="Traditional Arabic" w:eastAsia="Times New Roman" w:hAnsi="Traditional Arabic" w:cs="Traditional Arabic"/>
          <w:sz w:val="32"/>
          <w:szCs w:val="32"/>
          <w:rtl/>
        </w:rPr>
        <w:t>., “</w:t>
      </w:r>
      <w:proofErr w:type="spellStart"/>
      <w:r>
        <w:rPr>
          <w:rFonts w:ascii="Traditional Arabic" w:eastAsia="Times New Roman" w:hAnsi="Traditional Arabic" w:cs="Traditional Arabic"/>
          <w:sz w:val="32"/>
          <w:szCs w:val="32"/>
          <w:rtl/>
        </w:rPr>
        <w:t>Securitization</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and</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the</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bank</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lending</w:t>
      </w:r>
      <w:proofErr w:type="spellEnd"/>
      <w:r>
        <w:rPr>
          <w:rFonts w:ascii="Traditional Arabic" w:eastAsia="Times New Roman" w:hAnsi="Traditional Arabic" w:cs="Traditional Arabic"/>
          <w:sz w:val="32"/>
          <w:szCs w:val="32"/>
          <w:rtl/>
        </w:rPr>
        <w:t xml:space="preserve"> </w:t>
      </w:r>
      <w:proofErr w:type="spellStart"/>
      <w:proofErr w:type="gramStart"/>
      <w:r>
        <w:rPr>
          <w:rFonts w:ascii="Traditional Arabic" w:eastAsia="Times New Roman" w:hAnsi="Traditional Arabic" w:cs="Traditional Arabic"/>
          <w:sz w:val="32"/>
          <w:szCs w:val="32"/>
          <w:rtl/>
        </w:rPr>
        <w:t>channel</w:t>
      </w:r>
      <w:proofErr w:type="spellEnd"/>
      <w:r>
        <w:rPr>
          <w:rFonts w:ascii="Traditional Arabic" w:eastAsia="Times New Roman" w:hAnsi="Traditional Arabic" w:cs="Traditional Arabic"/>
          <w:sz w:val="32"/>
          <w:szCs w:val="32"/>
          <w:rtl/>
        </w:rPr>
        <w:t>”,</w:t>
      </w:r>
      <w:proofErr w:type="gram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European</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Economic</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Review</w:t>
      </w:r>
      <w:proofErr w:type="spellEnd"/>
      <w:r>
        <w:rPr>
          <w:rFonts w:ascii="Traditional Arabic" w:eastAsia="Times New Roman" w:hAnsi="Traditional Arabic" w:cs="Traditional Arabic"/>
          <w:sz w:val="32"/>
          <w:szCs w:val="32"/>
          <w:rtl/>
        </w:rPr>
        <w:t>, 2009.</w:t>
      </w:r>
    </w:p>
    <w:p w14:paraId="500C5653" w14:textId="77777777" w:rsidR="00A84008" w:rsidRPr="00A84008" w:rsidRDefault="00A84008" w:rsidP="00540437">
      <w:pPr>
        <w:pStyle w:val="Paragraphedeliste"/>
        <w:numPr>
          <w:ilvl w:val="0"/>
          <w:numId w:val="57"/>
        </w:numPr>
        <w:spacing w:before="100" w:beforeAutospacing="1" w:after="100" w:afterAutospacing="1" w:line="240" w:lineRule="auto"/>
        <w:rPr>
          <w:rFonts w:ascii="Traditional Arabic" w:eastAsia="Times New Roman" w:hAnsi="Traditional Arabic" w:cs="Traditional Arabic"/>
          <w:sz w:val="32"/>
          <w:szCs w:val="32"/>
        </w:rPr>
      </w:pPr>
      <w:proofErr w:type="spellStart"/>
      <w:r>
        <w:rPr>
          <w:rFonts w:ascii="Traditional Arabic" w:eastAsia="Times New Roman" w:hAnsi="Traditional Arabic" w:cs="Traditional Arabic"/>
          <w:sz w:val="32"/>
          <w:szCs w:val="32"/>
          <w:rtl/>
        </w:rPr>
        <w:t>Acharya</w:t>
      </w:r>
      <w:proofErr w:type="spellEnd"/>
      <w:r>
        <w:rPr>
          <w:rFonts w:ascii="Traditional Arabic" w:eastAsia="Times New Roman" w:hAnsi="Traditional Arabic" w:cs="Traditional Arabic"/>
          <w:sz w:val="32"/>
          <w:szCs w:val="32"/>
          <w:rtl/>
        </w:rPr>
        <w:t xml:space="preserve">, V.V. &amp; </w:t>
      </w:r>
      <w:proofErr w:type="spellStart"/>
      <w:r>
        <w:rPr>
          <w:rFonts w:ascii="Traditional Arabic" w:eastAsia="Times New Roman" w:hAnsi="Traditional Arabic" w:cs="Traditional Arabic"/>
          <w:sz w:val="32"/>
          <w:szCs w:val="32"/>
          <w:rtl/>
        </w:rPr>
        <w:t>Schnabl</w:t>
      </w:r>
      <w:proofErr w:type="spellEnd"/>
      <w:r>
        <w:rPr>
          <w:rFonts w:ascii="Traditional Arabic" w:eastAsia="Times New Roman" w:hAnsi="Traditional Arabic" w:cs="Traditional Arabic"/>
          <w:sz w:val="32"/>
          <w:szCs w:val="32"/>
          <w:rtl/>
        </w:rPr>
        <w:t>, P., “</w:t>
      </w:r>
      <w:proofErr w:type="spellStart"/>
      <w:r>
        <w:rPr>
          <w:rFonts w:ascii="Traditional Arabic" w:eastAsia="Times New Roman" w:hAnsi="Traditional Arabic" w:cs="Traditional Arabic"/>
          <w:sz w:val="32"/>
          <w:szCs w:val="32"/>
          <w:rtl/>
        </w:rPr>
        <w:t>Securitization</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without</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risk</w:t>
      </w:r>
      <w:proofErr w:type="spellEnd"/>
      <w:r>
        <w:rPr>
          <w:rFonts w:ascii="Traditional Arabic" w:eastAsia="Times New Roman" w:hAnsi="Traditional Arabic" w:cs="Traditional Arabic"/>
          <w:sz w:val="32"/>
          <w:szCs w:val="32"/>
          <w:rtl/>
        </w:rPr>
        <w:t xml:space="preserve"> </w:t>
      </w:r>
      <w:proofErr w:type="spellStart"/>
      <w:proofErr w:type="gramStart"/>
      <w:r>
        <w:rPr>
          <w:rFonts w:ascii="Traditional Arabic" w:eastAsia="Times New Roman" w:hAnsi="Traditional Arabic" w:cs="Traditional Arabic"/>
          <w:sz w:val="32"/>
          <w:szCs w:val="32"/>
          <w:rtl/>
        </w:rPr>
        <w:t>transfer</w:t>
      </w:r>
      <w:proofErr w:type="spellEnd"/>
      <w:r>
        <w:rPr>
          <w:rFonts w:ascii="Traditional Arabic" w:eastAsia="Times New Roman" w:hAnsi="Traditional Arabic" w:cs="Traditional Arabic"/>
          <w:sz w:val="32"/>
          <w:szCs w:val="32"/>
          <w:rtl/>
        </w:rPr>
        <w:t>”,</w:t>
      </w:r>
      <w:proofErr w:type="gramEnd"/>
      <w:r>
        <w:rPr>
          <w:rFonts w:ascii="Traditional Arabic" w:eastAsia="Times New Roman" w:hAnsi="Traditional Arabic" w:cs="Traditional Arabic"/>
          <w:sz w:val="32"/>
          <w:szCs w:val="32"/>
          <w:rtl/>
        </w:rPr>
        <w:t xml:space="preserve"> NBER </w:t>
      </w:r>
      <w:proofErr w:type="spellStart"/>
      <w:r>
        <w:rPr>
          <w:rFonts w:ascii="Traditional Arabic" w:eastAsia="Times New Roman" w:hAnsi="Traditional Arabic" w:cs="Traditional Arabic"/>
          <w:sz w:val="32"/>
          <w:szCs w:val="32"/>
          <w:rtl/>
        </w:rPr>
        <w:t>Working</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Paper</w:t>
      </w:r>
      <w:proofErr w:type="spellEnd"/>
      <w:r>
        <w:rPr>
          <w:rFonts w:ascii="Traditional Arabic" w:eastAsia="Times New Roman" w:hAnsi="Traditional Arabic" w:cs="Traditional Arabic"/>
          <w:sz w:val="32"/>
          <w:szCs w:val="32"/>
          <w:rtl/>
        </w:rPr>
        <w:t>, 2010.</w:t>
      </w:r>
    </w:p>
    <w:p w14:paraId="04589B40" w14:textId="77777777" w:rsidR="00A84008" w:rsidRPr="00A84008" w:rsidRDefault="00A84008" w:rsidP="00540437">
      <w:pPr>
        <w:pStyle w:val="Paragraphedeliste"/>
        <w:numPr>
          <w:ilvl w:val="0"/>
          <w:numId w:val="57"/>
        </w:numPr>
        <w:spacing w:before="100" w:beforeAutospacing="1" w:after="100" w:afterAutospacing="1" w:line="240" w:lineRule="auto"/>
        <w:rPr>
          <w:rFonts w:ascii="Traditional Arabic" w:eastAsia="Times New Roman" w:hAnsi="Traditional Arabic" w:cs="Traditional Arabic"/>
          <w:sz w:val="32"/>
          <w:szCs w:val="32"/>
        </w:rPr>
      </w:pPr>
      <w:proofErr w:type="spellStart"/>
      <w:r>
        <w:rPr>
          <w:rFonts w:ascii="Traditional Arabic" w:eastAsia="Times New Roman" w:hAnsi="Traditional Arabic" w:cs="Traditional Arabic"/>
          <w:sz w:val="32"/>
          <w:szCs w:val="32"/>
          <w:rtl/>
        </w:rPr>
        <w:t>Mayer</w:t>
      </w:r>
      <w:proofErr w:type="spellEnd"/>
      <w:r>
        <w:rPr>
          <w:rFonts w:ascii="Traditional Arabic" w:eastAsia="Times New Roman" w:hAnsi="Traditional Arabic" w:cs="Traditional Arabic"/>
          <w:sz w:val="32"/>
          <w:szCs w:val="32"/>
          <w:rtl/>
        </w:rPr>
        <w:t>, C.J., “</w:t>
      </w:r>
      <w:proofErr w:type="spellStart"/>
      <w:r>
        <w:rPr>
          <w:rFonts w:ascii="Traditional Arabic" w:eastAsia="Times New Roman" w:hAnsi="Traditional Arabic" w:cs="Traditional Arabic"/>
          <w:sz w:val="32"/>
          <w:szCs w:val="32"/>
          <w:rtl/>
        </w:rPr>
        <w:t>Securitization</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and</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agency</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costs</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in</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mortgage</w:t>
      </w:r>
      <w:proofErr w:type="spellEnd"/>
      <w:r>
        <w:rPr>
          <w:rFonts w:ascii="Traditional Arabic" w:eastAsia="Times New Roman" w:hAnsi="Traditional Arabic" w:cs="Traditional Arabic"/>
          <w:sz w:val="32"/>
          <w:szCs w:val="32"/>
          <w:rtl/>
        </w:rPr>
        <w:t xml:space="preserve"> </w:t>
      </w:r>
      <w:proofErr w:type="spellStart"/>
      <w:proofErr w:type="gramStart"/>
      <w:r>
        <w:rPr>
          <w:rFonts w:ascii="Traditional Arabic" w:eastAsia="Times New Roman" w:hAnsi="Traditional Arabic" w:cs="Traditional Arabic"/>
          <w:sz w:val="32"/>
          <w:szCs w:val="32"/>
          <w:rtl/>
        </w:rPr>
        <w:t>markets</w:t>
      </w:r>
      <w:proofErr w:type="spellEnd"/>
      <w:r>
        <w:rPr>
          <w:rFonts w:ascii="Traditional Arabic" w:eastAsia="Times New Roman" w:hAnsi="Traditional Arabic" w:cs="Traditional Arabic"/>
          <w:sz w:val="32"/>
          <w:szCs w:val="32"/>
          <w:rtl/>
        </w:rPr>
        <w:t>”,</w:t>
      </w:r>
      <w:proofErr w:type="gram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Columbia</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Business</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School</w:t>
      </w:r>
      <w:proofErr w:type="spellEnd"/>
      <w:r>
        <w:rPr>
          <w:rFonts w:ascii="Traditional Arabic" w:eastAsia="Times New Roman" w:hAnsi="Traditional Arabic" w:cs="Traditional Arabic"/>
          <w:sz w:val="32"/>
          <w:szCs w:val="32"/>
          <w:rtl/>
        </w:rPr>
        <w:t>, 2014.</w:t>
      </w:r>
    </w:p>
    <w:p w14:paraId="5648ABB5" w14:textId="77777777" w:rsidR="00A84008" w:rsidRPr="00A84008" w:rsidRDefault="00A84008" w:rsidP="00540437">
      <w:pPr>
        <w:pStyle w:val="Paragraphedeliste"/>
        <w:numPr>
          <w:ilvl w:val="0"/>
          <w:numId w:val="57"/>
        </w:numPr>
        <w:spacing w:before="100" w:beforeAutospacing="1" w:after="100" w:afterAutospacing="1" w:line="240" w:lineRule="auto"/>
        <w:rPr>
          <w:rFonts w:ascii="Traditional Arabic" w:eastAsia="Times New Roman" w:hAnsi="Traditional Arabic" w:cs="Traditional Arabic"/>
          <w:sz w:val="32"/>
          <w:szCs w:val="32"/>
        </w:rPr>
      </w:pPr>
      <w:proofErr w:type="spellStart"/>
      <w:r>
        <w:rPr>
          <w:rFonts w:ascii="Traditional Arabic" w:eastAsia="Times New Roman" w:hAnsi="Traditional Arabic" w:cs="Traditional Arabic"/>
          <w:sz w:val="32"/>
          <w:szCs w:val="32"/>
          <w:rtl/>
        </w:rPr>
        <w:t>Cole</w:t>
      </w:r>
      <w:proofErr w:type="spellEnd"/>
      <w:r>
        <w:rPr>
          <w:rFonts w:ascii="Traditional Arabic" w:eastAsia="Times New Roman" w:hAnsi="Traditional Arabic" w:cs="Traditional Arabic"/>
          <w:sz w:val="32"/>
          <w:szCs w:val="32"/>
          <w:rtl/>
        </w:rPr>
        <w:t xml:space="preserve">, R.A. &amp; </w:t>
      </w:r>
      <w:proofErr w:type="spellStart"/>
      <w:r>
        <w:rPr>
          <w:rFonts w:ascii="Traditional Arabic" w:eastAsia="Times New Roman" w:hAnsi="Traditional Arabic" w:cs="Traditional Arabic"/>
          <w:sz w:val="32"/>
          <w:szCs w:val="32"/>
          <w:rtl/>
        </w:rPr>
        <w:t>Rosen</w:t>
      </w:r>
      <w:proofErr w:type="spellEnd"/>
      <w:r>
        <w:rPr>
          <w:rFonts w:ascii="Traditional Arabic" w:eastAsia="Times New Roman" w:hAnsi="Traditional Arabic" w:cs="Traditional Arabic"/>
          <w:sz w:val="32"/>
          <w:szCs w:val="32"/>
          <w:rtl/>
        </w:rPr>
        <w:t>, R.J., “</w:t>
      </w:r>
      <w:proofErr w:type="spellStart"/>
      <w:r>
        <w:rPr>
          <w:rFonts w:ascii="Traditional Arabic" w:eastAsia="Times New Roman" w:hAnsi="Traditional Arabic" w:cs="Traditional Arabic"/>
          <w:sz w:val="32"/>
          <w:szCs w:val="32"/>
          <w:rtl/>
        </w:rPr>
        <w:t>Securitization</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of</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small</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business</w:t>
      </w:r>
      <w:proofErr w:type="spellEnd"/>
      <w:r>
        <w:rPr>
          <w:rFonts w:ascii="Traditional Arabic" w:eastAsia="Times New Roman" w:hAnsi="Traditional Arabic" w:cs="Traditional Arabic"/>
          <w:sz w:val="32"/>
          <w:szCs w:val="32"/>
          <w:rtl/>
        </w:rPr>
        <w:t xml:space="preserve"> </w:t>
      </w:r>
      <w:proofErr w:type="spellStart"/>
      <w:proofErr w:type="gramStart"/>
      <w:r>
        <w:rPr>
          <w:rFonts w:ascii="Traditional Arabic" w:eastAsia="Times New Roman" w:hAnsi="Traditional Arabic" w:cs="Traditional Arabic"/>
          <w:sz w:val="32"/>
          <w:szCs w:val="32"/>
          <w:rtl/>
        </w:rPr>
        <w:t>loans</w:t>
      </w:r>
      <w:proofErr w:type="spellEnd"/>
      <w:r>
        <w:rPr>
          <w:rFonts w:ascii="Traditional Arabic" w:eastAsia="Times New Roman" w:hAnsi="Traditional Arabic" w:cs="Traditional Arabic"/>
          <w:sz w:val="32"/>
          <w:szCs w:val="32"/>
          <w:rtl/>
        </w:rPr>
        <w:t>”,</w:t>
      </w:r>
      <w:proofErr w:type="gram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Journal</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of</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Finance</w:t>
      </w:r>
      <w:proofErr w:type="spellEnd"/>
      <w:r>
        <w:rPr>
          <w:rFonts w:ascii="Traditional Arabic" w:eastAsia="Times New Roman" w:hAnsi="Traditional Arabic" w:cs="Traditional Arabic"/>
          <w:sz w:val="32"/>
          <w:szCs w:val="32"/>
          <w:rtl/>
        </w:rPr>
        <w:t>, 2021.</w:t>
      </w:r>
    </w:p>
    <w:p w14:paraId="3CF02734" w14:textId="77777777" w:rsidR="00A84008" w:rsidRPr="00A84008" w:rsidRDefault="00A84008" w:rsidP="00540437">
      <w:pPr>
        <w:pStyle w:val="Paragraphedeliste"/>
        <w:numPr>
          <w:ilvl w:val="0"/>
          <w:numId w:val="57"/>
        </w:numPr>
        <w:spacing w:before="100" w:beforeAutospacing="1" w:after="100" w:afterAutospacing="1" w:line="240" w:lineRule="auto"/>
        <w:rPr>
          <w:rFonts w:ascii="Traditional Arabic" w:eastAsia="Times New Roman" w:hAnsi="Traditional Arabic" w:cs="Traditional Arabic"/>
          <w:sz w:val="32"/>
          <w:szCs w:val="32"/>
        </w:rPr>
      </w:pPr>
      <w:proofErr w:type="spellStart"/>
      <w:r>
        <w:rPr>
          <w:rFonts w:ascii="Traditional Arabic" w:eastAsia="Times New Roman" w:hAnsi="Traditional Arabic" w:cs="Traditional Arabic"/>
          <w:sz w:val="32"/>
          <w:szCs w:val="32"/>
          <w:rtl/>
        </w:rPr>
        <w:t>Gianfrate</w:t>
      </w:r>
      <w:proofErr w:type="spellEnd"/>
      <w:r>
        <w:rPr>
          <w:rFonts w:ascii="Traditional Arabic" w:eastAsia="Times New Roman" w:hAnsi="Traditional Arabic" w:cs="Traditional Arabic"/>
          <w:sz w:val="32"/>
          <w:szCs w:val="32"/>
          <w:rtl/>
        </w:rPr>
        <w:t xml:space="preserve">, G. &amp; </w:t>
      </w:r>
      <w:proofErr w:type="spellStart"/>
      <w:r>
        <w:rPr>
          <w:rFonts w:ascii="Traditional Arabic" w:eastAsia="Times New Roman" w:hAnsi="Traditional Arabic" w:cs="Traditional Arabic"/>
          <w:sz w:val="32"/>
          <w:szCs w:val="32"/>
          <w:rtl/>
        </w:rPr>
        <w:t>Peri</w:t>
      </w:r>
      <w:proofErr w:type="spellEnd"/>
      <w:r>
        <w:rPr>
          <w:rFonts w:ascii="Traditional Arabic" w:eastAsia="Times New Roman" w:hAnsi="Traditional Arabic" w:cs="Traditional Arabic"/>
          <w:sz w:val="32"/>
          <w:szCs w:val="32"/>
          <w:rtl/>
        </w:rPr>
        <w:t>, M., “</w:t>
      </w:r>
      <w:proofErr w:type="spellStart"/>
      <w:r>
        <w:rPr>
          <w:rFonts w:ascii="Traditional Arabic" w:eastAsia="Times New Roman" w:hAnsi="Traditional Arabic" w:cs="Traditional Arabic"/>
          <w:sz w:val="32"/>
          <w:szCs w:val="32"/>
          <w:rtl/>
        </w:rPr>
        <w:t>Green</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securitization</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and</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sustainable</w:t>
      </w:r>
      <w:proofErr w:type="spellEnd"/>
      <w:r>
        <w:rPr>
          <w:rFonts w:ascii="Traditional Arabic" w:eastAsia="Times New Roman" w:hAnsi="Traditional Arabic" w:cs="Traditional Arabic"/>
          <w:sz w:val="32"/>
          <w:szCs w:val="32"/>
          <w:rtl/>
        </w:rPr>
        <w:t xml:space="preserve"> </w:t>
      </w:r>
      <w:proofErr w:type="spellStart"/>
      <w:proofErr w:type="gramStart"/>
      <w:r>
        <w:rPr>
          <w:rFonts w:ascii="Traditional Arabic" w:eastAsia="Times New Roman" w:hAnsi="Traditional Arabic" w:cs="Traditional Arabic"/>
          <w:sz w:val="32"/>
          <w:szCs w:val="32"/>
          <w:rtl/>
        </w:rPr>
        <w:t>bonds</w:t>
      </w:r>
      <w:proofErr w:type="spellEnd"/>
      <w:r>
        <w:rPr>
          <w:rFonts w:ascii="Traditional Arabic" w:eastAsia="Times New Roman" w:hAnsi="Traditional Arabic" w:cs="Traditional Arabic"/>
          <w:sz w:val="32"/>
          <w:szCs w:val="32"/>
          <w:rtl/>
        </w:rPr>
        <w:t>”,</w:t>
      </w:r>
      <w:proofErr w:type="gram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Journal</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of</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Sustainable</w:t>
      </w:r>
      <w:proofErr w:type="spellEnd"/>
      <w:r>
        <w:rPr>
          <w:rFonts w:ascii="Traditional Arabic" w:eastAsia="Times New Roman" w:hAnsi="Traditional Arabic" w:cs="Traditional Arabic"/>
          <w:sz w:val="32"/>
          <w:szCs w:val="32"/>
          <w:rtl/>
        </w:rPr>
        <w:t xml:space="preserve"> </w:t>
      </w:r>
      <w:proofErr w:type="spellStart"/>
      <w:r>
        <w:rPr>
          <w:rFonts w:ascii="Traditional Arabic" w:eastAsia="Times New Roman" w:hAnsi="Traditional Arabic" w:cs="Traditional Arabic"/>
          <w:sz w:val="32"/>
          <w:szCs w:val="32"/>
          <w:rtl/>
        </w:rPr>
        <w:t>Finance</w:t>
      </w:r>
      <w:proofErr w:type="spellEnd"/>
      <w:r>
        <w:rPr>
          <w:rFonts w:ascii="Traditional Arabic" w:eastAsia="Times New Roman" w:hAnsi="Traditional Arabic" w:cs="Traditional Arabic"/>
          <w:sz w:val="32"/>
          <w:szCs w:val="32"/>
          <w:rtl/>
        </w:rPr>
        <w:t>, 2022.</w:t>
      </w:r>
    </w:p>
    <w:p w14:paraId="7F0D3EEB" w14:textId="77777777" w:rsidR="005E6A27" w:rsidRDefault="005E6A27" w:rsidP="00540437">
      <w:pPr>
        <w:bidi/>
        <w:spacing w:before="100" w:beforeAutospacing="1" w:after="100" w:afterAutospacing="1"/>
        <w:rPr>
          <w:rFonts w:ascii="Traditional Arabic" w:eastAsia="Times New Roman" w:hAnsi="Traditional Arabic" w:cs="Traditional Arabic"/>
          <w:sz w:val="32"/>
          <w:szCs w:val="32"/>
          <w:rtl/>
        </w:rPr>
        <w:sectPr w:rsidR="005E6A27" w:rsidSect="009F79D5">
          <w:headerReference w:type="default" r:id="rId44"/>
          <w:footerReference w:type="default" r:id="rId45"/>
          <w:footnotePr>
            <w:numRestart w:val="eachPage"/>
          </w:footnotePr>
          <w:pgSz w:w="11907" w:h="16839" w:code="9"/>
          <w:pgMar w:top="1440" w:right="1440" w:bottom="1440" w:left="1440" w:header="720" w:footer="720" w:gutter="0"/>
          <w:cols w:space="720"/>
          <w:docGrid w:linePitch="360"/>
        </w:sectPr>
      </w:pPr>
    </w:p>
    <w:p w14:paraId="144025C0" w14:textId="63534B38" w:rsidR="005E6A27" w:rsidRDefault="005E6A27" w:rsidP="005E6A27">
      <w:pPr>
        <w:bidi/>
        <w:spacing w:after="0" w:line="240" w:lineRule="auto"/>
        <w:rPr>
          <w:rFonts w:ascii="Traditional Arabic" w:eastAsia="Times New Roman" w:hAnsi="Traditional Arabic" w:cs="Traditional Arabic"/>
          <w:b/>
          <w:bCs/>
          <w:sz w:val="36"/>
          <w:szCs w:val="36"/>
          <w:rtl/>
        </w:rPr>
      </w:pPr>
      <w:r w:rsidRPr="005E6A27">
        <w:rPr>
          <w:rFonts w:ascii="Traditional Arabic" w:eastAsia="Times New Roman" w:hAnsi="Traditional Arabic" w:cs="Traditional Arabic" w:hint="cs"/>
          <w:b/>
          <w:bCs/>
          <w:sz w:val="36"/>
          <w:szCs w:val="36"/>
          <w:rtl/>
        </w:rPr>
        <w:lastRenderedPageBreak/>
        <w:t>قائمة الملاحق:</w:t>
      </w:r>
    </w:p>
    <w:p w14:paraId="0D799311" w14:textId="36B712D1" w:rsidR="005E6A27" w:rsidRPr="005E6A27" w:rsidRDefault="005E6A27" w:rsidP="005E6A27">
      <w:pPr>
        <w:bidi/>
        <w:spacing w:after="0" w:line="240" w:lineRule="auto"/>
        <w:rPr>
          <w:rFonts w:ascii="Traditional Arabic" w:hAnsi="Traditional Arabic" w:cs="Traditional Arabic"/>
          <w:sz w:val="32"/>
          <w:szCs w:val="32"/>
          <w:rtl/>
        </w:rPr>
      </w:pPr>
      <w:r>
        <w:rPr>
          <w:rFonts w:ascii="Traditional Arabic" w:hAnsi="Traditional Arabic" w:cs="Traditional Arabic"/>
          <w:noProof/>
          <w:sz w:val="32"/>
          <w:szCs w:val="32"/>
          <w:rtl/>
          <w:lang w:val="ar-SA"/>
        </w:rPr>
        <w:lastRenderedPageBreak/>
        <w:drawing>
          <wp:anchor distT="0" distB="0" distL="114300" distR="114300" simplePos="0" relativeHeight="251677696" behindDoc="0" locked="0" layoutInCell="1" allowOverlap="1" wp14:anchorId="2859AE33" wp14:editId="6BE57936">
            <wp:simplePos x="657225" y="1266825"/>
            <wp:positionH relativeFrom="margin">
              <wp:align>center</wp:align>
            </wp:positionH>
            <wp:positionV relativeFrom="margin">
              <wp:align>center</wp:align>
            </wp:positionV>
            <wp:extent cx="7560000" cy="10726067"/>
            <wp:effectExtent l="0" t="0" r="317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46">
                      <a:extLst>
                        <a:ext uri="{28A0092B-C50C-407E-A947-70E740481C1C}">
                          <a14:useLocalDpi xmlns:a14="http://schemas.microsoft.com/office/drawing/2010/main" val="0"/>
                        </a:ext>
                      </a:extLst>
                    </a:blip>
                    <a:srcRect l="-1" r="964"/>
                    <a:stretch/>
                  </pic:blipFill>
                  <pic:spPr bwMode="auto">
                    <a:xfrm>
                      <a:off x="0" y="0"/>
                      <a:ext cx="7560000" cy="107260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5E6A27" w:rsidRPr="005E6A27" w:rsidSect="009F79D5">
      <w:headerReference w:type="default" r:id="rId47"/>
      <w:footerReference w:type="default" r:id="rId48"/>
      <w:footnotePr>
        <w:numRestart w:val="eachPage"/>
      </w:footnotePr>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4693F" w14:textId="77777777" w:rsidR="009248E3" w:rsidRDefault="009248E3" w:rsidP="0091194F">
      <w:pPr>
        <w:spacing w:after="0" w:line="240" w:lineRule="auto"/>
      </w:pPr>
      <w:r>
        <w:separator/>
      </w:r>
    </w:p>
  </w:endnote>
  <w:endnote w:type="continuationSeparator" w:id="0">
    <w:p w14:paraId="7D8B5914" w14:textId="77777777" w:rsidR="009248E3" w:rsidRDefault="009248E3" w:rsidP="00911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raditional Arabic,Bold">
    <w:altName w:val="Times New Roman"/>
    <w:panose1 w:val="00000000000000000000"/>
    <w:charset w:val="B2"/>
    <w:family w:val="auto"/>
    <w:notTrueType/>
    <w:pitch w:val="default"/>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814A2" w14:textId="77777777" w:rsidR="00524B6F" w:rsidRDefault="00524B6F" w:rsidP="007E7909">
    <w:pPr>
      <w:pStyle w:val="Pieddepage"/>
      <w:jc w:val="center"/>
    </w:pPr>
  </w:p>
  <w:p w14:paraId="2FFC4380" w14:textId="77777777" w:rsidR="00524B6F" w:rsidRDefault="00524B6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C0B49" w14:textId="4926481E" w:rsidR="00524B6F" w:rsidRDefault="00524B6F" w:rsidP="009F4C19">
    <w:pPr>
      <w:pStyle w:val="Pieddepage"/>
    </w:pPr>
  </w:p>
  <w:p w14:paraId="0999B163" w14:textId="77777777" w:rsidR="00524B6F" w:rsidRDefault="00524B6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C3519" w14:textId="77777777" w:rsidR="00524B6F" w:rsidRDefault="00524B6F" w:rsidP="007E7909">
    <w:pPr>
      <w:pStyle w:val="Pieddepage"/>
      <w:jc w:val="center"/>
    </w:pPr>
  </w:p>
  <w:p w14:paraId="52EDC983" w14:textId="77777777" w:rsidR="00524B6F" w:rsidRDefault="00524B6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207CD" w14:textId="77777777" w:rsidR="00524B6F" w:rsidRDefault="00524B6F" w:rsidP="00C853BC">
    <w:pPr>
      <w:pStyle w:val="Pieddepage"/>
      <w:jc w:val="center"/>
    </w:pPr>
  </w:p>
  <w:p w14:paraId="38B20496" w14:textId="77777777" w:rsidR="00524B6F" w:rsidRDefault="00524B6F">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598F2" w14:textId="0C8C4754" w:rsidR="00524B6F" w:rsidRDefault="00524B6F" w:rsidP="004B1BB8">
    <w:pPr>
      <w:pStyle w:val="Pieddepage"/>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34845"/>
      <w:docPartObj>
        <w:docPartGallery w:val="Page Numbers (Bottom of Page)"/>
        <w:docPartUnique/>
      </w:docPartObj>
    </w:sdtPr>
    <w:sdtEndPr>
      <w:rPr>
        <w:noProof/>
      </w:rPr>
    </w:sdtEndPr>
    <w:sdtContent>
      <w:p w14:paraId="15597783" w14:textId="77777777" w:rsidR="004B1BB8" w:rsidRDefault="004B1BB8">
        <w:pPr>
          <w:pStyle w:val="Pieddepage"/>
          <w:jc w:val="center"/>
        </w:pPr>
        <w:r>
          <w:fldChar w:fldCharType="begin"/>
        </w:r>
        <w:r>
          <w:instrText xml:space="preserve"> PAGE   \* MERGEFORMAT </w:instrText>
        </w:r>
        <w:r>
          <w:fldChar w:fldCharType="separate"/>
        </w:r>
        <w:r>
          <w:rPr>
            <w:rFonts w:hint="cs"/>
            <w:noProof/>
            <w:rtl/>
          </w:rPr>
          <w:t>‌ه</w:t>
        </w:r>
        <w:r>
          <w:rPr>
            <w:noProof/>
          </w:rPr>
          <w:fldChar w:fldCharType="end"/>
        </w:r>
      </w:p>
    </w:sdtContent>
  </w:sdt>
  <w:p w14:paraId="244AAC04" w14:textId="77777777" w:rsidR="004B1BB8" w:rsidRDefault="004B1BB8">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88FDA" w14:textId="77777777" w:rsidR="00524B6F" w:rsidRDefault="00524B6F" w:rsidP="00C853BC">
    <w:pPr>
      <w:pStyle w:val="Pieddepage"/>
      <w:jc w:val="center"/>
    </w:pPr>
  </w:p>
  <w:p w14:paraId="3ED3849F" w14:textId="77777777" w:rsidR="00524B6F" w:rsidRDefault="00524B6F">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2740874"/>
      <w:docPartObj>
        <w:docPartGallery w:val="Page Numbers (Bottom of Page)"/>
        <w:docPartUnique/>
      </w:docPartObj>
    </w:sdtPr>
    <w:sdtEndPr>
      <w:rPr>
        <w:noProof/>
      </w:rPr>
    </w:sdtEndPr>
    <w:sdtContent>
      <w:p w14:paraId="3ABE933D" w14:textId="77777777" w:rsidR="00524B6F" w:rsidRDefault="00524B6F">
        <w:pPr>
          <w:pStyle w:val="Pieddepage"/>
          <w:jc w:val="center"/>
        </w:pPr>
        <w:r>
          <w:fldChar w:fldCharType="begin"/>
        </w:r>
        <w:r>
          <w:instrText xml:space="preserve"> PAGE   \* MERGEFORMAT </w:instrText>
        </w:r>
        <w:r>
          <w:fldChar w:fldCharType="separate"/>
        </w:r>
        <w:r w:rsidR="00081565">
          <w:rPr>
            <w:noProof/>
          </w:rPr>
          <w:t>9</w:t>
        </w:r>
        <w:r>
          <w:rPr>
            <w:noProof/>
          </w:rPr>
          <w:fldChar w:fldCharType="end"/>
        </w:r>
      </w:p>
    </w:sdtContent>
  </w:sdt>
  <w:p w14:paraId="3C2370FD" w14:textId="77777777" w:rsidR="00524B6F" w:rsidRDefault="00524B6F">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35EBD" w14:textId="77777777" w:rsidR="00524B6F" w:rsidRDefault="00524B6F" w:rsidP="006A1F7A">
    <w:pPr>
      <w:pStyle w:val="Pieddepage"/>
      <w:jc w:val="center"/>
    </w:pPr>
  </w:p>
  <w:p w14:paraId="6E36471C" w14:textId="77777777" w:rsidR="00524B6F" w:rsidRDefault="00524B6F">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3885859"/>
      <w:docPartObj>
        <w:docPartGallery w:val="Page Numbers (Bottom of Page)"/>
        <w:docPartUnique/>
      </w:docPartObj>
    </w:sdtPr>
    <w:sdtEndPr>
      <w:rPr>
        <w:noProof/>
      </w:rPr>
    </w:sdtEndPr>
    <w:sdtContent>
      <w:p w14:paraId="72EC1CE4" w14:textId="77777777" w:rsidR="00524B6F" w:rsidRDefault="00524B6F">
        <w:pPr>
          <w:pStyle w:val="Pieddepage"/>
          <w:jc w:val="center"/>
        </w:pPr>
        <w:r>
          <w:fldChar w:fldCharType="begin"/>
        </w:r>
        <w:r>
          <w:instrText xml:space="preserve"> PAGE   \* MERGEFORMAT </w:instrText>
        </w:r>
        <w:r>
          <w:fldChar w:fldCharType="separate"/>
        </w:r>
        <w:r w:rsidR="00081565">
          <w:rPr>
            <w:noProof/>
          </w:rPr>
          <w:t>31</w:t>
        </w:r>
        <w:r>
          <w:rPr>
            <w:noProof/>
          </w:rPr>
          <w:fldChar w:fldCharType="end"/>
        </w:r>
      </w:p>
    </w:sdtContent>
  </w:sdt>
  <w:p w14:paraId="671D3C34" w14:textId="77777777" w:rsidR="00524B6F" w:rsidRDefault="00524B6F">
    <w:pPr>
      <w:pStyle w:val="Piedde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812652"/>
      <w:docPartObj>
        <w:docPartGallery w:val="Page Numbers (Bottom of Page)"/>
        <w:docPartUnique/>
      </w:docPartObj>
    </w:sdtPr>
    <w:sdtEndPr>
      <w:rPr>
        <w:noProof/>
      </w:rPr>
    </w:sdtEndPr>
    <w:sdtContent>
      <w:p w14:paraId="55A1952B" w14:textId="77777777" w:rsidR="00524B6F" w:rsidRDefault="00524B6F">
        <w:pPr>
          <w:pStyle w:val="Pieddepage"/>
          <w:jc w:val="center"/>
        </w:pPr>
        <w:r>
          <w:fldChar w:fldCharType="begin"/>
        </w:r>
        <w:r>
          <w:instrText xml:space="preserve"> PAGE   \* MERGEFORMAT </w:instrText>
        </w:r>
        <w:r>
          <w:fldChar w:fldCharType="separate"/>
        </w:r>
        <w:r w:rsidR="00081565">
          <w:rPr>
            <w:noProof/>
          </w:rPr>
          <w:t>48</w:t>
        </w:r>
        <w:r>
          <w:rPr>
            <w:noProof/>
          </w:rPr>
          <w:fldChar w:fldCharType="end"/>
        </w:r>
      </w:p>
    </w:sdtContent>
  </w:sdt>
  <w:p w14:paraId="32E4700F" w14:textId="77777777" w:rsidR="00524B6F" w:rsidRDefault="00524B6F">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CC236" w14:textId="77777777" w:rsidR="00524B6F" w:rsidRDefault="00524B6F" w:rsidP="006A1F7A">
    <w:pPr>
      <w:pStyle w:val="Pieddepage"/>
      <w:jc w:val="center"/>
    </w:pPr>
  </w:p>
  <w:p w14:paraId="7D935DF7" w14:textId="77777777" w:rsidR="00524B6F" w:rsidRDefault="00524B6F">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6693888"/>
      <w:docPartObj>
        <w:docPartGallery w:val="Page Numbers (Bottom of Page)"/>
        <w:docPartUnique/>
      </w:docPartObj>
    </w:sdtPr>
    <w:sdtEndPr>
      <w:rPr>
        <w:noProof/>
      </w:rPr>
    </w:sdtEndPr>
    <w:sdtContent>
      <w:p w14:paraId="4A808194" w14:textId="77777777" w:rsidR="00524B6F" w:rsidRDefault="00524B6F">
        <w:pPr>
          <w:pStyle w:val="Pieddepage"/>
          <w:jc w:val="center"/>
        </w:pPr>
        <w:r>
          <w:fldChar w:fldCharType="begin"/>
        </w:r>
        <w:r>
          <w:instrText xml:space="preserve"> PAGE   \* MERGEFORMAT </w:instrText>
        </w:r>
        <w:r>
          <w:fldChar w:fldCharType="separate"/>
        </w:r>
        <w:r w:rsidR="00081565">
          <w:rPr>
            <w:noProof/>
          </w:rPr>
          <w:t>56</w:t>
        </w:r>
        <w:r>
          <w:rPr>
            <w:noProof/>
          </w:rPr>
          <w:fldChar w:fldCharType="end"/>
        </w:r>
      </w:p>
    </w:sdtContent>
  </w:sdt>
  <w:p w14:paraId="3EF7F191" w14:textId="77777777" w:rsidR="00524B6F" w:rsidRDefault="00524B6F">
    <w:pPr>
      <w:pStyle w:val="Pieddepag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1D914" w14:textId="77777777" w:rsidR="00524B6F" w:rsidRDefault="00524B6F" w:rsidP="006A1F7A">
    <w:pPr>
      <w:pStyle w:val="Pieddepage"/>
      <w:jc w:val="center"/>
    </w:pPr>
  </w:p>
  <w:p w14:paraId="5E31A350" w14:textId="77777777" w:rsidR="00524B6F" w:rsidRDefault="00524B6F" w:rsidP="006A1F7A">
    <w:pPr>
      <w:pStyle w:val="Pieddepage"/>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313209"/>
      <w:docPartObj>
        <w:docPartGallery w:val="Page Numbers (Bottom of Page)"/>
        <w:docPartUnique/>
      </w:docPartObj>
    </w:sdtPr>
    <w:sdtEndPr>
      <w:rPr>
        <w:noProof/>
      </w:rPr>
    </w:sdtEndPr>
    <w:sdtContent>
      <w:p w14:paraId="22572A9C" w14:textId="77777777" w:rsidR="00524B6F" w:rsidRDefault="00524B6F">
        <w:pPr>
          <w:pStyle w:val="Pieddepage"/>
          <w:jc w:val="center"/>
        </w:pPr>
        <w:r>
          <w:fldChar w:fldCharType="begin"/>
        </w:r>
        <w:r>
          <w:instrText xml:space="preserve"> PAGE   \* MERGEFORMAT </w:instrText>
        </w:r>
        <w:r>
          <w:fldChar w:fldCharType="separate"/>
        </w:r>
        <w:r w:rsidR="00081565">
          <w:rPr>
            <w:noProof/>
          </w:rPr>
          <w:t>61</w:t>
        </w:r>
        <w:r>
          <w:rPr>
            <w:noProof/>
          </w:rPr>
          <w:fldChar w:fldCharType="end"/>
        </w:r>
      </w:p>
    </w:sdtContent>
  </w:sdt>
  <w:p w14:paraId="050A557A" w14:textId="77777777" w:rsidR="00524B6F" w:rsidRDefault="00524B6F" w:rsidP="006A1F7A">
    <w:pPr>
      <w:pStyle w:val="Pieddepage"/>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191739"/>
      <w:docPartObj>
        <w:docPartGallery w:val="Page Numbers (Bottom of Page)"/>
        <w:docPartUnique/>
      </w:docPartObj>
    </w:sdtPr>
    <w:sdtEndPr>
      <w:rPr>
        <w:noProof/>
      </w:rPr>
    </w:sdtEndPr>
    <w:sdtContent>
      <w:p w14:paraId="5CA5EF01" w14:textId="77777777" w:rsidR="005E6A27" w:rsidRDefault="005E6A27">
        <w:pPr>
          <w:pStyle w:val="Pieddepage"/>
          <w:jc w:val="center"/>
        </w:pPr>
        <w:r>
          <w:fldChar w:fldCharType="begin"/>
        </w:r>
        <w:r>
          <w:instrText xml:space="preserve"> PAGE   \* MERGEFORMAT </w:instrText>
        </w:r>
        <w:r>
          <w:fldChar w:fldCharType="separate"/>
        </w:r>
        <w:r>
          <w:rPr>
            <w:noProof/>
          </w:rPr>
          <w:t>61</w:t>
        </w:r>
        <w:r>
          <w:rPr>
            <w:noProof/>
          </w:rPr>
          <w:fldChar w:fldCharType="end"/>
        </w:r>
      </w:p>
    </w:sdtContent>
  </w:sdt>
  <w:p w14:paraId="64CEDD8A" w14:textId="77777777" w:rsidR="005E6A27" w:rsidRDefault="005E6A27" w:rsidP="006A1F7A">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870C6" w14:textId="77777777" w:rsidR="009248E3" w:rsidRDefault="009248E3" w:rsidP="00242401">
      <w:pPr>
        <w:bidi/>
        <w:spacing w:after="0" w:line="240" w:lineRule="auto"/>
      </w:pPr>
      <w:r>
        <w:separator/>
      </w:r>
    </w:p>
  </w:footnote>
  <w:footnote w:type="continuationSeparator" w:id="0">
    <w:p w14:paraId="46B3EC0B" w14:textId="77777777" w:rsidR="009248E3" w:rsidRDefault="009248E3" w:rsidP="0091194F">
      <w:pPr>
        <w:spacing w:after="0" w:line="240" w:lineRule="auto"/>
      </w:pPr>
      <w:r>
        <w:continuationSeparator/>
      </w:r>
    </w:p>
  </w:footnote>
  <w:footnote w:id="1">
    <w:p w14:paraId="2E51C885" w14:textId="77777777" w:rsidR="00524B6F" w:rsidRDefault="00524B6F" w:rsidP="0091194F">
      <w:pPr>
        <w:pStyle w:val="Notedebasdepage"/>
        <w:bidi/>
        <w:rPr>
          <w:rtl/>
          <w:lang w:bidi="ar-DZ"/>
        </w:rPr>
      </w:pPr>
      <w:r>
        <w:rPr>
          <w:rStyle w:val="Appelnotedebasdep"/>
        </w:rPr>
        <w:footnoteRef/>
      </w:r>
      <w:r>
        <w:t xml:space="preserve"> </w:t>
      </w:r>
      <w:r w:rsidRPr="0091194F">
        <w:rPr>
          <w:rtl/>
        </w:rPr>
        <w:t xml:space="preserve">عبد السلام خليل، </w:t>
      </w:r>
      <w:r w:rsidRPr="0091194F">
        <w:rPr>
          <w:i/>
          <w:iCs/>
          <w:rtl/>
        </w:rPr>
        <w:t>التمويل المهيكل وأدوات الهندسة المالية</w:t>
      </w:r>
      <w:r w:rsidRPr="0091194F">
        <w:rPr>
          <w:rtl/>
        </w:rPr>
        <w:t>، دار الأكاديمية، عمّان، 2016، ص 44</w:t>
      </w:r>
      <w:r w:rsidRPr="0091194F">
        <w:rPr>
          <w:lang w:bidi="ar-DZ"/>
        </w:rPr>
        <w:t>.</w:t>
      </w:r>
    </w:p>
  </w:footnote>
  <w:footnote w:id="2">
    <w:p w14:paraId="12865B67" w14:textId="77777777" w:rsidR="00524B6F" w:rsidRDefault="00524B6F" w:rsidP="0091194F">
      <w:pPr>
        <w:pStyle w:val="Notedebasdepage"/>
        <w:bidi/>
        <w:rPr>
          <w:rtl/>
          <w:lang w:bidi="ar-DZ"/>
        </w:rPr>
      </w:pPr>
      <w:r>
        <w:rPr>
          <w:rStyle w:val="Appelnotedebasdep"/>
        </w:rPr>
        <w:footnoteRef/>
      </w:r>
      <w:r>
        <w:t xml:space="preserve"> </w:t>
      </w:r>
      <w:r w:rsidRPr="0091194F">
        <w:rPr>
          <w:rtl/>
        </w:rPr>
        <w:t xml:space="preserve">عبد الحميد علي موسى، </w:t>
      </w:r>
      <w:r w:rsidRPr="0091194F">
        <w:rPr>
          <w:i/>
          <w:iCs/>
          <w:rtl/>
        </w:rPr>
        <w:t>الهندسة المالية: المفاهيم والأدوات والتطبيقات</w:t>
      </w:r>
      <w:r w:rsidRPr="0091194F">
        <w:rPr>
          <w:rtl/>
        </w:rPr>
        <w:t>، دار الفكر الجامعي، القاهرة، 2018، ص 112</w:t>
      </w:r>
      <w:r w:rsidRPr="0091194F">
        <w:rPr>
          <w:lang w:bidi="ar-DZ"/>
        </w:rPr>
        <w:t>.</w:t>
      </w:r>
    </w:p>
  </w:footnote>
  <w:footnote w:id="3">
    <w:p w14:paraId="476D4407" w14:textId="77777777" w:rsidR="00524B6F" w:rsidRDefault="00524B6F" w:rsidP="0091194F">
      <w:pPr>
        <w:pStyle w:val="Notedebasdepage"/>
        <w:bidi/>
        <w:rPr>
          <w:rtl/>
          <w:lang w:bidi="ar-DZ"/>
        </w:rPr>
      </w:pPr>
      <w:r>
        <w:rPr>
          <w:rStyle w:val="Appelnotedebasdep"/>
        </w:rPr>
        <w:footnoteRef/>
      </w:r>
      <w:r>
        <w:t xml:space="preserve"> </w:t>
      </w:r>
      <w:r w:rsidRPr="0091194F">
        <w:rPr>
          <w:rtl/>
        </w:rPr>
        <w:t xml:space="preserve">عبد الرحمن يسري، </w:t>
      </w:r>
      <w:r w:rsidRPr="0091194F">
        <w:rPr>
          <w:i/>
          <w:iCs/>
          <w:rtl/>
        </w:rPr>
        <w:t>الاقتصاد المالي وأسواق المال</w:t>
      </w:r>
      <w:r w:rsidRPr="0091194F">
        <w:rPr>
          <w:rtl/>
        </w:rPr>
        <w:t>، دار الصفاء، بيروت، 2014، ص 201</w:t>
      </w:r>
      <w:r w:rsidRPr="0091194F">
        <w:rPr>
          <w:lang w:bidi="ar-DZ"/>
        </w:rPr>
        <w:t>.</w:t>
      </w:r>
    </w:p>
  </w:footnote>
  <w:footnote w:id="4">
    <w:p w14:paraId="45D79091" w14:textId="77777777" w:rsidR="00524B6F" w:rsidRPr="0091194F" w:rsidRDefault="00524B6F" w:rsidP="0091194F">
      <w:pPr>
        <w:pStyle w:val="Notedebasdepage"/>
        <w:bidi/>
        <w:rPr>
          <w:rtl/>
          <w:lang w:bidi="ar-DZ"/>
        </w:rPr>
      </w:pPr>
      <w:r>
        <w:rPr>
          <w:rStyle w:val="Appelnotedebasdep"/>
        </w:rPr>
        <w:footnoteRef/>
      </w:r>
      <w:r>
        <w:t xml:space="preserve"> </w:t>
      </w:r>
      <w:r w:rsidRPr="0091194F">
        <w:rPr>
          <w:rtl/>
        </w:rPr>
        <w:t xml:space="preserve">محمد عبد النبي، </w:t>
      </w:r>
      <w:r w:rsidRPr="0091194F">
        <w:rPr>
          <w:i/>
          <w:iCs/>
          <w:rtl/>
        </w:rPr>
        <w:t>أسواق الأوراق المالية: المبادئ والأدوات</w:t>
      </w:r>
      <w:r w:rsidRPr="0091194F">
        <w:rPr>
          <w:rtl/>
        </w:rPr>
        <w:t>، دار الجامعة الجديدة، القاهرة، 2015، ص 73</w:t>
      </w:r>
      <w:r w:rsidRPr="0091194F">
        <w:rPr>
          <w:lang w:bidi="ar-DZ"/>
        </w:rPr>
        <w:t>.</w:t>
      </w:r>
    </w:p>
  </w:footnote>
  <w:footnote w:id="5">
    <w:p w14:paraId="79D1E436" w14:textId="77777777" w:rsidR="00524B6F" w:rsidRDefault="00524B6F" w:rsidP="0091194F">
      <w:pPr>
        <w:pStyle w:val="Notedebasdepage"/>
        <w:bidi/>
        <w:rPr>
          <w:rtl/>
          <w:lang w:bidi="ar-DZ"/>
        </w:rPr>
      </w:pPr>
      <w:r>
        <w:rPr>
          <w:rStyle w:val="Appelnotedebasdep"/>
        </w:rPr>
        <w:footnoteRef/>
      </w:r>
      <w:r>
        <w:t xml:space="preserve"> </w:t>
      </w:r>
      <w:r w:rsidRPr="0091194F">
        <w:rPr>
          <w:rtl/>
        </w:rPr>
        <w:t xml:space="preserve">الطيب خوري، </w:t>
      </w:r>
      <w:r w:rsidRPr="0091194F">
        <w:rPr>
          <w:i/>
          <w:iCs/>
          <w:rtl/>
        </w:rPr>
        <w:t>إدارة مخاطر الائتمان في البنوك التجارية</w:t>
      </w:r>
      <w:r w:rsidRPr="0091194F">
        <w:rPr>
          <w:rtl/>
        </w:rPr>
        <w:t>، دار الرشد، بيروت، 2017، ص 167</w:t>
      </w:r>
      <w:r w:rsidRPr="0091194F">
        <w:rPr>
          <w:lang w:bidi="ar-DZ"/>
        </w:rPr>
        <w:t>.</w:t>
      </w:r>
    </w:p>
  </w:footnote>
  <w:footnote w:id="6">
    <w:p w14:paraId="042CEE25" w14:textId="77777777" w:rsidR="00524B6F" w:rsidRDefault="00524B6F" w:rsidP="0091194F">
      <w:pPr>
        <w:pStyle w:val="Notedebasdepage"/>
        <w:bidi/>
        <w:rPr>
          <w:rtl/>
          <w:lang w:bidi="ar-DZ"/>
        </w:rPr>
      </w:pPr>
      <w:r>
        <w:rPr>
          <w:rStyle w:val="Appelnotedebasdep"/>
        </w:rPr>
        <w:footnoteRef/>
      </w:r>
      <w:r>
        <w:t xml:space="preserve"> </w:t>
      </w:r>
      <w:r w:rsidRPr="0091194F">
        <w:rPr>
          <w:rtl/>
        </w:rPr>
        <w:t xml:space="preserve">عبد الله الشلوي، </w:t>
      </w:r>
      <w:r w:rsidRPr="0091194F">
        <w:rPr>
          <w:i/>
          <w:iCs/>
          <w:rtl/>
        </w:rPr>
        <w:t>التوريق ودوره في تنويع الأدوات المالية</w:t>
      </w:r>
      <w:r w:rsidRPr="0091194F">
        <w:rPr>
          <w:rtl/>
        </w:rPr>
        <w:t>، مكتبة العبيكان، الرياض، 2020، ص 91</w:t>
      </w:r>
      <w:r w:rsidRPr="0091194F">
        <w:rPr>
          <w:lang w:bidi="ar-DZ"/>
        </w:rPr>
        <w:t>.</w:t>
      </w:r>
    </w:p>
  </w:footnote>
  <w:footnote w:id="7">
    <w:p w14:paraId="4AB8C51A" w14:textId="77777777" w:rsidR="00524B6F" w:rsidRDefault="00524B6F" w:rsidP="0091194F">
      <w:pPr>
        <w:pStyle w:val="Notedebasdepage"/>
        <w:bidi/>
        <w:rPr>
          <w:rtl/>
          <w:lang w:bidi="ar-DZ"/>
        </w:rPr>
      </w:pPr>
      <w:r>
        <w:rPr>
          <w:rStyle w:val="Appelnotedebasdep"/>
        </w:rPr>
        <w:footnoteRef/>
      </w:r>
      <w:r>
        <w:t xml:space="preserve"> </w:t>
      </w:r>
      <w:r w:rsidRPr="0091194F">
        <w:rPr>
          <w:rFonts w:hint="cs"/>
          <w:rtl/>
        </w:rPr>
        <w:t xml:space="preserve">عبد السلام </w:t>
      </w:r>
      <w:r w:rsidRPr="0091194F">
        <w:rPr>
          <w:rtl/>
        </w:rPr>
        <w:t>خليل، مرجع سابق، ص 62</w:t>
      </w:r>
      <w:r w:rsidRPr="0091194F">
        <w:rPr>
          <w:lang w:bidi="ar-DZ"/>
        </w:rPr>
        <w:t>.</w:t>
      </w:r>
    </w:p>
  </w:footnote>
  <w:footnote w:id="8">
    <w:p w14:paraId="2D6E511C" w14:textId="77777777" w:rsidR="00524B6F" w:rsidRPr="0091194F" w:rsidRDefault="00524B6F" w:rsidP="0091194F">
      <w:pPr>
        <w:pStyle w:val="Notedebasdepage"/>
        <w:bidi/>
        <w:rPr>
          <w:rtl/>
          <w:lang w:bidi="ar-DZ"/>
        </w:rPr>
      </w:pPr>
      <w:r>
        <w:rPr>
          <w:rStyle w:val="Appelnotedebasdep"/>
        </w:rPr>
        <w:footnoteRef/>
      </w:r>
      <w:r>
        <w:t xml:space="preserve"> </w:t>
      </w:r>
      <w:r w:rsidRPr="0091194F">
        <w:rPr>
          <w:rFonts w:hint="cs"/>
          <w:rtl/>
        </w:rPr>
        <w:t>محمد</w:t>
      </w:r>
      <w:r w:rsidRPr="0091194F">
        <w:rPr>
          <w:lang w:bidi="ar-DZ"/>
        </w:rPr>
        <w:t xml:space="preserve"> </w:t>
      </w:r>
      <w:r w:rsidRPr="0091194F">
        <w:rPr>
          <w:rtl/>
        </w:rPr>
        <w:t>عبد النبي، مرجع سابق، ص 102</w:t>
      </w:r>
      <w:r>
        <w:rPr>
          <w:lang w:bidi="ar-DZ"/>
        </w:rPr>
        <w:t>.</w:t>
      </w:r>
    </w:p>
  </w:footnote>
  <w:footnote w:id="9">
    <w:p w14:paraId="7C2A70C4" w14:textId="77777777" w:rsidR="00524B6F" w:rsidRDefault="00524B6F" w:rsidP="0091194F">
      <w:pPr>
        <w:pStyle w:val="Notedebasdepage"/>
        <w:bidi/>
        <w:rPr>
          <w:rtl/>
          <w:lang w:bidi="ar-DZ"/>
        </w:rPr>
      </w:pPr>
      <w:r>
        <w:rPr>
          <w:rStyle w:val="Appelnotedebasdep"/>
        </w:rPr>
        <w:footnoteRef/>
      </w:r>
      <w:r>
        <w:t xml:space="preserve"> </w:t>
      </w:r>
      <w:r w:rsidRPr="0091194F">
        <w:rPr>
          <w:rtl/>
        </w:rPr>
        <w:t xml:space="preserve">زياد عرفة، </w:t>
      </w:r>
      <w:r w:rsidRPr="0091194F">
        <w:rPr>
          <w:i/>
          <w:iCs/>
          <w:rtl/>
        </w:rPr>
        <w:t>الاستقرار المالي وإدارة المخاطر</w:t>
      </w:r>
      <w:r w:rsidRPr="0091194F">
        <w:rPr>
          <w:rtl/>
        </w:rPr>
        <w:t>، دار الحامد، عمّان، 2017، ص 134</w:t>
      </w:r>
      <w:r w:rsidRPr="0091194F">
        <w:rPr>
          <w:lang w:bidi="ar-DZ"/>
        </w:rPr>
        <w:t>.</w:t>
      </w:r>
    </w:p>
  </w:footnote>
  <w:footnote w:id="10">
    <w:p w14:paraId="033507FE" w14:textId="77777777" w:rsidR="00524B6F" w:rsidRPr="009E005D" w:rsidRDefault="00524B6F" w:rsidP="009E005D">
      <w:pPr>
        <w:pStyle w:val="Notedebasdepage"/>
        <w:bidi/>
        <w:rPr>
          <w:rtl/>
          <w:lang w:bidi="ar-DZ"/>
        </w:rPr>
      </w:pPr>
      <w:r>
        <w:rPr>
          <w:rStyle w:val="Appelnotedebasdep"/>
        </w:rPr>
        <w:footnoteRef/>
      </w:r>
      <w:r>
        <w:t xml:space="preserve"> </w:t>
      </w:r>
      <w:r w:rsidRPr="009E005D">
        <w:rPr>
          <w:rFonts w:hint="cs"/>
          <w:rtl/>
        </w:rPr>
        <w:t>عبد الله</w:t>
      </w:r>
      <w:r w:rsidRPr="009E005D">
        <w:rPr>
          <w:lang w:bidi="ar-DZ"/>
        </w:rPr>
        <w:t xml:space="preserve"> </w:t>
      </w:r>
      <w:r w:rsidRPr="009E005D">
        <w:rPr>
          <w:rtl/>
        </w:rPr>
        <w:t>الشلوي، مرجع سابق، ص 127</w:t>
      </w:r>
      <w:r>
        <w:rPr>
          <w:lang w:bidi="ar-DZ"/>
        </w:rPr>
        <w:t>.</w:t>
      </w:r>
    </w:p>
  </w:footnote>
  <w:footnote w:id="11">
    <w:p w14:paraId="24804742" w14:textId="77777777" w:rsidR="00524B6F" w:rsidRPr="009E005D" w:rsidRDefault="00524B6F" w:rsidP="009E005D">
      <w:pPr>
        <w:pStyle w:val="Notedebasdepage"/>
        <w:bidi/>
        <w:rPr>
          <w:rtl/>
          <w:lang w:bidi="ar-DZ"/>
        </w:rPr>
      </w:pPr>
      <w:r>
        <w:rPr>
          <w:rStyle w:val="Appelnotedebasdep"/>
        </w:rPr>
        <w:footnoteRef/>
      </w:r>
      <w:r>
        <w:t xml:space="preserve"> </w:t>
      </w:r>
      <w:r w:rsidRPr="009E005D">
        <w:rPr>
          <w:rFonts w:hint="cs"/>
          <w:rtl/>
        </w:rPr>
        <w:t xml:space="preserve">عبد الرحمان </w:t>
      </w:r>
      <w:r w:rsidRPr="009E005D">
        <w:rPr>
          <w:rtl/>
        </w:rPr>
        <w:t>يسري، مرجع سابق، ص 214</w:t>
      </w:r>
      <w:r>
        <w:t>.</w:t>
      </w:r>
    </w:p>
  </w:footnote>
  <w:footnote w:id="12">
    <w:p w14:paraId="683A7A5B" w14:textId="77777777" w:rsidR="00524B6F" w:rsidRDefault="00524B6F" w:rsidP="006C01FD">
      <w:pPr>
        <w:pStyle w:val="Notedebasdepage"/>
        <w:bidi/>
        <w:rPr>
          <w:rtl/>
          <w:lang w:bidi="ar-DZ"/>
        </w:rPr>
      </w:pPr>
      <w:r>
        <w:rPr>
          <w:rStyle w:val="Appelnotedebasdep"/>
        </w:rPr>
        <w:footnoteRef/>
      </w:r>
      <w:r>
        <w:t xml:space="preserve"> </w:t>
      </w:r>
      <w:r w:rsidRPr="006C01FD">
        <w:rPr>
          <w:rFonts w:hint="cs"/>
          <w:rtl/>
        </w:rPr>
        <w:t>عبد السلام</w:t>
      </w:r>
      <w:r w:rsidRPr="006C01FD">
        <w:rPr>
          <w:lang w:bidi="ar-DZ"/>
        </w:rPr>
        <w:t xml:space="preserve"> </w:t>
      </w:r>
      <w:r w:rsidRPr="006C01FD">
        <w:rPr>
          <w:rtl/>
        </w:rPr>
        <w:t>خليل، مرجع سابق، ص 71</w:t>
      </w:r>
      <w:r w:rsidRPr="006C01FD">
        <w:rPr>
          <w:lang w:bidi="ar-DZ"/>
        </w:rPr>
        <w:t>.</w:t>
      </w:r>
    </w:p>
  </w:footnote>
  <w:footnote w:id="13">
    <w:p w14:paraId="2674DB90" w14:textId="77777777" w:rsidR="00524B6F" w:rsidRPr="006C01FD" w:rsidRDefault="00524B6F" w:rsidP="006C01FD">
      <w:pPr>
        <w:pStyle w:val="Notedebasdepage"/>
        <w:bidi/>
        <w:rPr>
          <w:lang w:bidi="ar-DZ"/>
        </w:rPr>
      </w:pPr>
      <w:r>
        <w:rPr>
          <w:rStyle w:val="Appelnotedebasdep"/>
        </w:rPr>
        <w:footnoteRef/>
      </w:r>
      <w:r>
        <w:t xml:space="preserve"> </w:t>
      </w:r>
      <w:r w:rsidRPr="006C01FD">
        <w:rPr>
          <w:rFonts w:hint="cs"/>
          <w:rtl/>
        </w:rPr>
        <w:t>محمد</w:t>
      </w:r>
      <w:r w:rsidRPr="006C01FD">
        <w:rPr>
          <w:lang w:bidi="ar-DZ"/>
        </w:rPr>
        <w:t xml:space="preserve"> </w:t>
      </w:r>
      <w:r w:rsidRPr="006C01FD">
        <w:rPr>
          <w:rtl/>
        </w:rPr>
        <w:t>عبد النبي، مرجع سابق، ص 106</w:t>
      </w:r>
      <w:r w:rsidRPr="006C01FD">
        <w:rPr>
          <w:lang w:bidi="ar-DZ"/>
        </w:rPr>
        <w:t>.</w:t>
      </w:r>
    </w:p>
    <w:p w14:paraId="6C17E95E" w14:textId="77777777" w:rsidR="00524B6F" w:rsidRDefault="00524B6F">
      <w:pPr>
        <w:pStyle w:val="Notedebasdepage"/>
        <w:rPr>
          <w:rtl/>
          <w:lang w:bidi="ar-DZ"/>
        </w:rPr>
      </w:pPr>
    </w:p>
  </w:footnote>
  <w:footnote w:id="14">
    <w:p w14:paraId="6C60B4FB" w14:textId="77777777" w:rsidR="00524B6F" w:rsidRPr="004F2594" w:rsidRDefault="00524B6F" w:rsidP="004F2594">
      <w:pPr>
        <w:pStyle w:val="Notedebasdepage"/>
        <w:bidi/>
      </w:pPr>
      <w:r>
        <w:rPr>
          <w:rStyle w:val="Appelnotedebasdep"/>
        </w:rPr>
        <w:footnoteRef/>
      </w:r>
      <w:r>
        <w:t xml:space="preserve"> </w:t>
      </w:r>
      <w:r>
        <w:rPr>
          <w:rFonts w:hint="cs"/>
          <w:rtl/>
        </w:rPr>
        <w:t>عبد</w:t>
      </w:r>
      <w:r w:rsidRPr="004F2594">
        <w:rPr>
          <w:rFonts w:hint="cs"/>
          <w:rtl/>
        </w:rPr>
        <w:t xml:space="preserve"> الله</w:t>
      </w:r>
      <w:r w:rsidRPr="004F2594">
        <w:t xml:space="preserve"> </w:t>
      </w:r>
      <w:r w:rsidRPr="004F2594">
        <w:rPr>
          <w:rtl/>
        </w:rPr>
        <w:t xml:space="preserve">الشلوي، مرجع سابق، ص </w:t>
      </w:r>
      <w:r>
        <w:rPr>
          <w:rFonts w:hint="cs"/>
          <w:rtl/>
        </w:rPr>
        <w:t>67</w:t>
      </w:r>
      <w:r w:rsidRPr="004F2594">
        <w:t>.</w:t>
      </w:r>
    </w:p>
  </w:footnote>
  <w:footnote w:id="15">
    <w:p w14:paraId="550BE882" w14:textId="77777777" w:rsidR="00524B6F" w:rsidRDefault="00524B6F" w:rsidP="004F2594">
      <w:pPr>
        <w:pStyle w:val="Notedebasdepage"/>
        <w:bidi/>
        <w:rPr>
          <w:rtl/>
          <w:lang w:bidi="ar-DZ"/>
        </w:rPr>
      </w:pPr>
      <w:r>
        <w:rPr>
          <w:rStyle w:val="Appelnotedebasdep"/>
        </w:rPr>
        <w:footnoteRef/>
      </w:r>
      <w:r>
        <w:t xml:space="preserve"> </w:t>
      </w:r>
      <w:r w:rsidRPr="004F2594">
        <w:rPr>
          <w:rFonts w:hint="cs"/>
          <w:rtl/>
        </w:rPr>
        <w:t>عبد السلام</w:t>
      </w:r>
      <w:r w:rsidRPr="004F2594">
        <w:rPr>
          <w:lang w:bidi="ar-DZ"/>
        </w:rPr>
        <w:t xml:space="preserve"> </w:t>
      </w:r>
      <w:r w:rsidRPr="004F2594">
        <w:rPr>
          <w:rtl/>
        </w:rPr>
        <w:t xml:space="preserve">خليل، مرجع سابق، ص </w:t>
      </w:r>
      <w:r>
        <w:rPr>
          <w:rFonts w:hint="cs"/>
          <w:rtl/>
        </w:rPr>
        <w:t>58</w:t>
      </w:r>
      <w:r w:rsidRPr="004F2594">
        <w:rPr>
          <w:lang w:bidi="ar-DZ"/>
        </w:rPr>
        <w:t>.</w:t>
      </w:r>
    </w:p>
  </w:footnote>
  <w:footnote w:id="16">
    <w:p w14:paraId="44E3AFA6" w14:textId="77777777" w:rsidR="00524B6F" w:rsidRDefault="00524B6F" w:rsidP="004F2594">
      <w:pPr>
        <w:pStyle w:val="Notedebasdepage"/>
        <w:bidi/>
        <w:rPr>
          <w:rtl/>
          <w:lang w:bidi="ar-DZ"/>
        </w:rPr>
      </w:pPr>
      <w:r>
        <w:rPr>
          <w:rStyle w:val="Appelnotedebasdep"/>
        </w:rPr>
        <w:footnoteRef/>
      </w:r>
      <w:r>
        <w:t xml:space="preserve"> </w:t>
      </w:r>
      <w:r w:rsidRPr="004F2594">
        <w:rPr>
          <w:rtl/>
        </w:rPr>
        <w:t>زياد عرفة، الاستقرار المالي وإدارة المخاطر، دار الحامد، عمّان، 2017، ص 141</w:t>
      </w:r>
      <w:r w:rsidRPr="004F2594">
        <w:t>.</w:t>
      </w:r>
    </w:p>
  </w:footnote>
  <w:footnote w:id="17">
    <w:p w14:paraId="6DD646C6" w14:textId="77777777" w:rsidR="00524B6F" w:rsidRDefault="00524B6F" w:rsidP="004F2594">
      <w:pPr>
        <w:pStyle w:val="Notedebasdepage"/>
        <w:bidi/>
        <w:rPr>
          <w:rtl/>
          <w:lang w:bidi="ar-DZ"/>
        </w:rPr>
      </w:pPr>
      <w:r>
        <w:rPr>
          <w:rStyle w:val="Appelnotedebasdep"/>
        </w:rPr>
        <w:footnoteRef/>
      </w:r>
      <w:r>
        <w:t xml:space="preserve"> </w:t>
      </w:r>
      <w:r w:rsidRPr="004F2594">
        <w:rPr>
          <w:rtl/>
        </w:rPr>
        <w:t>الطيب خوري، إدارة مخاطر الائتمان في البنوك التجارية، دار الرشد، بيروت، 2017، ص 174</w:t>
      </w:r>
      <w:r w:rsidRPr="004F2594">
        <w:rPr>
          <w:lang w:bidi="ar-DZ"/>
        </w:rPr>
        <w:t>.</w:t>
      </w:r>
    </w:p>
  </w:footnote>
  <w:footnote w:id="18">
    <w:p w14:paraId="5066011B" w14:textId="77777777" w:rsidR="00524B6F" w:rsidRDefault="00524B6F" w:rsidP="0044505A">
      <w:pPr>
        <w:pStyle w:val="Notedebasdepage"/>
        <w:bidi/>
        <w:rPr>
          <w:rtl/>
          <w:lang w:bidi="ar-DZ"/>
        </w:rPr>
      </w:pPr>
      <w:r>
        <w:rPr>
          <w:rStyle w:val="Appelnotedebasdep"/>
        </w:rPr>
        <w:footnoteRef/>
      </w:r>
      <w:r>
        <w:t xml:space="preserve"> </w:t>
      </w:r>
      <w:r w:rsidRPr="0044505A">
        <w:rPr>
          <w:rFonts w:hint="cs"/>
          <w:rtl/>
        </w:rPr>
        <w:t>عبد الرحمن</w:t>
      </w:r>
      <w:r w:rsidRPr="0044505A">
        <w:rPr>
          <w:lang w:bidi="ar-DZ"/>
        </w:rPr>
        <w:t xml:space="preserve"> </w:t>
      </w:r>
      <w:r w:rsidRPr="0044505A">
        <w:rPr>
          <w:rtl/>
        </w:rPr>
        <w:t>يسري، مرجع سابق، ص 236</w:t>
      </w:r>
      <w:r w:rsidRPr="0044505A">
        <w:rPr>
          <w:lang w:bidi="ar-DZ"/>
        </w:rPr>
        <w:t>.</w:t>
      </w:r>
    </w:p>
  </w:footnote>
  <w:footnote w:id="19">
    <w:p w14:paraId="7445474A" w14:textId="77777777" w:rsidR="00524B6F" w:rsidRDefault="00524B6F" w:rsidP="0044505A">
      <w:pPr>
        <w:pStyle w:val="Notedebasdepage"/>
        <w:bidi/>
        <w:rPr>
          <w:rtl/>
          <w:lang w:bidi="ar-DZ"/>
        </w:rPr>
      </w:pPr>
      <w:r>
        <w:rPr>
          <w:rStyle w:val="Appelnotedebasdep"/>
        </w:rPr>
        <w:footnoteRef/>
      </w:r>
      <w:r>
        <w:t xml:space="preserve"> </w:t>
      </w:r>
      <w:r w:rsidRPr="0044505A">
        <w:rPr>
          <w:rtl/>
        </w:rPr>
        <w:t>خوري، مرجع سابق، ص 182</w:t>
      </w:r>
      <w:r w:rsidRPr="0044505A">
        <w:rPr>
          <w:lang w:bidi="ar-DZ"/>
        </w:rPr>
        <w:t>.</w:t>
      </w:r>
    </w:p>
  </w:footnote>
  <w:footnote w:id="20">
    <w:p w14:paraId="20CCE3F6" w14:textId="77777777" w:rsidR="00524B6F" w:rsidRDefault="00524B6F" w:rsidP="0044505A">
      <w:pPr>
        <w:pStyle w:val="Notedebasdepage"/>
        <w:bidi/>
        <w:rPr>
          <w:rtl/>
          <w:lang w:bidi="ar-DZ"/>
        </w:rPr>
      </w:pPr>
      <w:r>
        <w:rPr>
          <w:rStyle w:val="Appelnotedebasdep"/>
        </w:rPr>
        <w:footnoteRef/>
      </w:r>
      <w:r>
        <w:rPr>
          <w:rFonts w:hint="cs"/>
          <w:rtl/>
        </w:rPr>
        <w:t>ا</w:t>
      </w:r>
      <w:r>
        <w:t xml:space="preserve"> </w:t>
      </w:r>
      <w:r w:rsidRPr="0044505A">
        <w:rPr>
          <w:rtl/>
        </w:rPr>
        <w:t>لشلوي، مرجع سابق، ص 102</w:t>
      </w:r>
      <w:r w:rsidRPr="0044505A">
        <w:rPr>
          <w:lang w:bidi="ar-DZ"/>
        </w:rPr>
        <w:t>.</w:t>
      </w:r>
    </w:p>
  </w:footnote>
  <w:footnote w:id="21">
    <w:p w14:paraId="6F52146E" w14:textId="77777777" w:rsidR="00524B6F" w:rsidRDefault="00524B6F" w:rsidP="0044505A">
      <w:pPr>
        <w:pStyle w:val="Notedebasdepage"/>
        <w:bidi/>
        <w:rPr>
          <w:rtl/>
          <w:lang w:bidi="ar-DZ"/>
        </w:rPr>
      </w:pPr>
      <w:r>
        <w:rPr>
          <w:rStyle w:val="Appelnotedebasdep"/>
        </w:rPr>
        <w:footnoteRef/>
      </w:r>
      <w:r>
        <w:t xml:space="preserve"> </w:t>
      </w:r>
      <w:r w:rsidRPr="0044505A">
        <w:rPr>
          <w:rtl/>
        </w:rPr>
        <w:t>عرفة، مرجع سابق، ص 158</w:t>
      </w:r>
      <w:r w:rsidRPr="0044505A">
        <w:rPr>
          <w:lang w:bidi="ar-DZ"/>
        </w:rPr>
        <w:t>.</w:t>
      </w:r>
    </w:p>
  </w:footnote>
  <w:footnote w:id="22">
    <w:p w14:paraId="3AE6A56A" w14:textId="77777777" w:rsidR="00524B6F" w:rsidRDefault="00524B6F" w:rsidP="00047884">
      <w:pPr>
        <w:pStyle w:val="Notedebasdepage"/>
        <w:bidi/>
        <w:rPr>
          <w:rtl/>
          <w:lang w:bidi="ar-DZ"/>
        </w:rPr>
      </w:pPr>
      <w:r>
        <w:rPr>
          <w:rStyle w:val="Appelnotedebasdep"/>
        </w:rPr>
        <w:footnoteRef/>
      </w:r>
      <w:r>
        <w:t xml:space="preserve"> </w:t>
      </w:r>
      <w:r w:rsidRPr="00047884">
        <w:rPr>
          <w:rtl/>
        </w:rPr>
        <w:t xml:space="preserve">خالد عبد المنعم، </w:t>
      </w:r>
      <w:r w:rsidRPr="00047884">
        <w:rPr>
          <w:i/>
          <w:iCs/>
          <w:rtl/>
        </w:rPr>
        <w:t>الأسواق المالية وإدارة المحافظ</w:t>
      </w:r>
      <w:r w:rsidRPr="00047884">
        <w:rPr>
          <w:rtl/>
        </w:rPr>
        <w:t>، دار البشائر، القاهرة، 2017، ص 201</w:t>
      </w:r>
      <w:r w:rsidRPr="00047884">
        <w:rPr>
          <w:lang w:bidi="ar-DZ"/>
        </w:rPr>
        <w:t>.</w:t>
      </w:r>
    </w:p>
  </w:footnote>
  <w:footnote w:id="23">
    <w:p w14:paraId="3D64AB40" w14:textId="77777777" w:rsidR="00524B6F" w:rsidRDefault="00524B6F" w:rsidP="00047884">
      <w:pPr>
        <w:pStyle w:val="Notedebasdepage"/>
        <w:bidi/>
        <w:rPr>
          <w:rtl/>
          <w:lang w:bidi="ar-DZ"/>
        </w:rPr>
      </w:pPr>
      <w:r>
        <w:rPr>
          <w:rStyle w:val="Appelnotedebasdep"/>
        </w:rPr>
        <w:footnoteRef/>
      </w:r>
      <w:r>
        <w:t xml:space="preserve"> </w:t>
      </w:r>
      <w:r w:rsidRPr="00047884">
        <w:rPr>
          <w:rtl/>
        </w:rPr>
        <w:t xml:space="preserve">نبيل مراد، </w:t>
      </w:r>
      <w:r w:rsidRPr="00047884">
        <w:rPr>
          <w:i/>
          <w:iCs/>
          <w:rtl/>
        </w:rPr>
        <w:t>إدارة المخاطر والرقابة المصرفية</w:t>
      </w:r>
      <w:r w:rsidRPr="00047884">
        <w:rPr>
          <w:rtl/>
        </w:rPr>
        <w:t>، دار اليازوري، عمّان، 2020، ص 146</w:t>
      </w:r>
      <w:r w:rsidRPr="00047884">
        <w:rPr>
          <w:lang w:bidi="ar-DZ"/>
        </w:rPr>
        <w:t>.</w:t>
      </w:r>
    </w:p>
  </w:footnote>
  <w:footnote w:id="24">
    <w:p w14:paraId="5A0A84A0" w14:textId="77777777" w:rsidR="00524B6F" w:rsidRPr="00723322" w:rsidRDefault="00524B6F" w:rsidP="00723322">
      <w:pPr>
        <w:pStyle w:val="Notedebasdepage"/>
        <w:bidi/>
      </w:pPr>
      <w:r>
        <w:rPr>
          <w:rStyle w:val="Appelnotedebasdep"/>
        </w:rPr>
        <w:footnoteRef/>
      </w:r>
      <w:r>
        <w:t xml:space="preserve"> </w:t>
      </w:r>
      <w:r w:rsidRPr="00723322">
        <w:rPr>
          <w:rtl/>
        </w:rPr>
        <w:t xml:space="preserve">أحمد بشير، </w:t>
      </w:r>
      <w:r w:rsidRPr="00723322">
        <w:rPr>
          <w:i/>
          <w:iCs/>
          <w:rtl/>
        </w:rPr>
        <w:t>الهندسة المالية المعاصرة</w:t>
      </w:r>
      <w:r w:rsidRPr="00723322">
        <w:rPr>
          <w:rtl/>
        </w:rPr>
        <w:t xml:space="preserve">، دار الراية، الرياض، 2019، ص </w:t>
      </w:r>
      <w:r w:rsidRPr="00723322">
        <w:t>133.</w:t>
      </w:r>
    </w:p>
  </w:footnote>
  <w:footnote w:id="25">
    <w:p w14:paraId="608EC7D0" w14:textId="77777777" w:rsidR="00524B6F" w:rsidRPr="00723322" w:rsidRDefault="00524B6F" w:rsidP="00723322">
      <w:pPr>
        <w:pStyle w:val="Notedebasdepage"/>
        <w:bidi/>
        <w:rPr>
          <w:lang w:val="fr-FR"/>
        </w:rPr>
      </w:pPr>
      <w:r>
        <w:rPr>
          <w:rStyle w:val="Appelnotedebasdep"/>
        </w:rPr>
        <w:footnoteRef/>
      </w:r>
      <w:r>
        <w:t xml:space="preserve"> </w:t>
      </w:r>
      <w:r w:rsidRPr="00723322">
        <w:rPr>
          <w:rtl/>
          <w:lang w:val="fr-FR"/>
        </w:rPr>
        <w:t xml:space="preserve">حامد خليل، </w:t>
      </w:r>
      <w:r w:rsidRPr="00723322">
        <w:rPr>
          <w:i/>
          <w:iCs/>
          <w:rtl/>
          <w:lang w:val="fr-FR"/>
        </w:rPr>
        <w:t>عمليات البنوك المعاصرة</w:t>
      </w:r>
      <w:r w:rsidRPr="00723322">
        <w:rPr>
          <w:rtl/>
          <w:lang w:val="fr-FR"/>
        </w:rPr>
        <w:t>، مكتبة الأفق، الإسكندرية، 2016، ص 221</w:t>
      </w:r>
      <w:r w:rsidRPr="00723322">
        <w:t>.</w:t>
      </w:r>
    </w:p>
  </w:footnote>
  <w:footnote w:id="26">
    <w:p w14:paraId="609460A9" w14:textId="77777777" w:rsidR="00524B6F" w:rsidRPr="00723322" w:rsidRDefault="00524B6F" w:rsidP="00723322">
      <w:pPr>
        <w:pStyle w:val="Notedebasdepage"/>
        <w:bidi/>
        <w:rPr>
          <w:lang w:val="fr-FR"/>
        </w:rPr>
      </w:pPr>
      <w:r>
        <w:rPr>
          <w:rStyle w:val="Appelnotedebasdep"/>
        </w:rPr>
        <w:footnoteRef/>
      </w:r>
      <w:r>
        <w:t xml:space="preserve"> </w:t>
      </w:r>
      <w:r w:rsidRPr="00723322">
        <w:rPr>
          <w:rtl/>
          <w:lang w:val="fr-FR"/>
        </w:rPr>
        <w:t>مراد، مرجع سابق، ص 165</w:t>
      </w:r>
      <w:r w:rsidRPr="00723322">
        <w:t>.</w:t>
      </w:r>
    </w:p>
  </w:footnote>
  <w:footnote w:id="27">
    <w:p w14:paraId="374D1507" w14:textId="77777777" w:rsidR="00524B6F" w:rsidRPr="00723322" w:rsidRDefault="00524B6F" w:rsidP="00723322">
      <w:pPr>
        <w:pStyle w:val="Notedebasdepage"/>
        <w:bidi/>
        <w:rPr>
          <w:lang w:val="fr-FR"/>
        </w:rPr>
      </w:pPr>
      <w:r>
        <w:rPr>
          <w:rStyle w:val="Appelnotedebasdep"/>
        </w:rPr>
        <w:footnoteRef/>
      </w:r>
      <w:r>
        <w:t xml:space="preserve"> </w:t>
      </w:r>
      <w:r w:rsidRPr="00723322">
        <w:rPr>
          <w:rtl/>
        </w:rPr>
        <w:t xml:space="preserve">مصطفى الخطيب، </w:t>
      </w:r>
      <w:r w:rsidRPr="00723322">
        <w:rPr>
          <w:i/>
          <w:iCs/>
          <w:rtl/>
        </w:rPr>
        <w:t>إدارة مخاطر الائتمان والسيولة</w:t>
      </w:r>
      <w:r w:rsidRPr="00723322">
        <w:rPr>
          <w:rtl/>
        </w:rPr>
        <w:t>، دار الصفوة، القاهرة، 2017، ص 88</w:t>
      </w:r>
      <w:r w:rsidRPr="00723322">
        <w:t>.</w:t>
      </w:r>
    </w:p>
  </w:footnote>
  <w:footnote w:id="28">
    <w:p w14:paraId="232C7B05" w14:textId="77777777" w:rsidR="00524B6F" w:rsidRPr="00723322" w:rsidRDefault="00524B6F" w:rsidP="00723322">
      <w:pPr>
        <w:pStyle w:val="Notedebasdepage"/>
        <w:bidi/>
        <w:rPr>
          <w:lang w:val="fr-FR"/>
        </w:rPr>
      </w:pPr>
      <w:r>
        <w:rPr>
          <w:rStyle w:val="Appelnotedebasdep"/>
        </w:rPr>
        <w:footnoteRef/>
      </w:r>
      <w:r>
        <w:t xml:space="preserve"> </w:t>
      </w:r>
      <w:r w:rsidRPr="00723322">
        <w:rPr>
          <w:rtl/>
          <w:lang w:val="fr-FR"/>
        </w:rPr>
        <w:t xml:space="preserve">قنطاري، </w:t>
      </w:r>
      <w:r w:rsidRPr="00723322">
        <w:rPr>
          <w:i/>
          <w:iCs/>
          <w:rtl/>
          <w:lang w:val="fr-FR"/>
        </w:rPr>
        <w:t>الأدوات المالية الحديثة وتطبيقاتها</w:t>
      </w:r>
      <w:r w:rsidRPr="00723322">
        <w:rPr>
          <w:rtl/>
          <w:lang w:val="fr-FR"/>
        </w:rPr>
        <w:t>، دار الفجر، بيروت، 2018، ص 104</w:t>
      </w:r>
      <w:r w:rsidRPr="00723322">
        <w:t>.</w:t>
      </w:r>
    </w:p>
  </w:footnote>
  <w:footnote w:id="29">
    <w:p w14:paraId="7C78419C" w14:textId="77777777" w:rsidR="00524B6F" w:rsidRPr="00723322" w:rsidRDefault="00524B6F" w:rsidP="00723322">
      <w:pPr>
        <w:pStyle w:val="Notedebasdepage"/>
        <w:bidi/>
        <w:rPr>
          <w:lang w:val="fr-FR"/>
        </w:rPr>
      </w:pPr>
      <w:r>
        <w:rPr>
          <w:rStyle w:val="Appelnotedebasdep"/>
        </w:rPr>
        <w:footnoteRef/>
      </w:r>
      <w:r>
        <w:t xml:space="preserve"> </w:t>
      </w:r>
      <w:r w:rsidRPr="00723322">
        <w:rPr>
          <w:rtl/>
          <w:lang w:val="fr-FR"/>
        </w:rPr>
        <w:t xml:space="preserve">قيس حداد، </w:t>
      </w:r>
      <w:r w:rsidRPr="00723322">
        <w:rPr>
          <w:i/>
          <w:iCs/>
          <w:rtl/>
          <w:lang w:val="fr-FR"/>
        </w:rPr>
        <w:t>إدارة المخاطر المصرفية</w:t>
      </w:r>
      <w:r w:rsidRPr="00723322">
        <w:rPr>
          <w:rtl/>
          <w:lang w:val="fr-FR"/>
        </w:rPr>
        <w:t xml:space="preserve">، دار النمو، عمّان، 2018، ص </w:t>
      </w:r>
      <w:r w:rsidRPr="00723322">
        <w:t>131.</w:t>
      </w:r>
    </w:p>
  </w:footnote>
  <w:footnote w:id="30">
    <w:p w14:paraId="2C79F2DC" w14:textId="77777777" w:rsidR="00524B6F" w:rsidRPr="00723322" w:rsidRDefault="00524B6F" w:rsidP="00723322">
      <w:pPr>
        <w:pStyle w:val="Notedebasdepage"/>
        <w:bidi/>
        <w:rPr>
          <w:lang w:val="fr-FR"/>
        </w:rPr>
      </w:pPr>
      <w:r>
        <w:rPr>
          <w:rStyle w:val="Appelnotedebasdep"/>
        </w:rPr>
        <w:footnoteRef/>
      </w:r>
      <w:r>
        <w:t xml:space="preserve"> </w:t>
      </w:r>
      <w:r w:rsidRPr="00723322">
        <w:rPr>
          <w:rtl/>
          <w:lang w:val="fr-FR"/>
        </w:rPr>
        <w:t>قنطاري، مرجع سابق، ص 141</w:t>
      </w:r>
      <w:r w:rsidRPr="00723322">
        <w:t>.</w:t>
      </w:r>
    </w:p>
  </w:footnote>
  <w:footnote w:id="31">
    <w:p w14:paraId="5D66BF0E" w14:textId="77777777" w:rsidR="00524B6F" w:rsidRPr="00723322" w:rsidRDefault="00524B6F" w:rsidP="00723322">
      <w:pPr>
        <w:pStyle w:val="Notedebasdepage"/>
        <w:bidi/>
        <w:rPr>
          <w:lang w:val="fr-FR"/>
        </w:rPr>
      </w:pPr>
      <w:r>
        <w:rPr>
          <w:rStyle w:val="Appelnotedebasdep"/>
        </w:rPr>
        <w:footnoteRef/>
      </w:r>
      <w:r>
        <w:t xml:space="preserve"> </w:t>
      </w:r>
      <w:r w:rsidRPr="00723322">
        <w:rPr>
          <w:rtl/>
          <w:lang w:val="fr-FR"/>
        </w:rPr>
        <w:t>مراد، مرجع سابق، ص 212</w:t>
      </w:r>
      <w:r w:rsidRPr="0072332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9F39C" w14:textId="77777777" w:rsidR="00524B6F" w:rsidRPr="00C853BC" w:rsidRDefault="00524B6F" w:rsidP="00C853BC">
    <w:pPr>
      <w:pStyle w:val="En-tte"/>
      <w:bidi/>
      <w:rPr>
        <w:rFonts w:ascii="Traditional Arabic" w:hAnsi="Traditional Arabic" w:cs="Traditional Arabic"/>
        <w:b/>
        <w:bCs/>
        <w:sz w:val="36"/>
        <w:szCs w:val="36"/>
        <w:lang w:bidi="ar-DZ"/>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D20C5" w14:textId="41BB7CC6" w:rsidR="00524B6F" w:rsidRPr="004B1BB8" w:rsidRDefault="00524B6F" w:rsidP="004B1BB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0C65B" w14:textId="77777777" w:rsidR="004B1BB8" w:rsidRPr="00C853BC" w:rsidRDefault="004B1BB8" w:rsidP="00C853BC">
    <w:pPr>
      <w:pStyle w:val="En-tte"/>
      <w:pBdr>
        <w:bottom w:val="thinThickSmallGap" w:sz="24" w:space="1" w:color="E36C0A" w:themeColor="accent6" w:themeShade="BF"/>
      </w:pBdr>
      <w:bidi/>
      <w:rPr>
        <w:rFonts w:ascii="Traditional Arabic" w:hAnsi="Traditional Arabic" w:cs="Traditional Arabic"/>
        <w:b/>
        <w:bCs/>
        <w:sz w:val="36"/>
        <w:szCs w:val="36"/>
        <w:lang w:bidi="ar-DZ"/>
      </w:rPr>
    </w:pPr>
    <w:r w:rsidRPr="00C853BC">
      <w:rPr>
        <w:rFonts w:ascii="Traditional Arabic" w:hAnsi="Traditional Arabic" w:cs="Traditional Arabic"/>
        <w:b/>
        <w:bCs/>
        <w:sz w:val="36"/>
        <w:szCs w:val="36"/>
        <w:rtl/>
        <w:lang w:bidi="ar-DZ"/>
      </w:rPr>
      <w:t xml:space="preserve">المقدمة العامة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35C58" w14:textId="77777777" w:rsidR="00524B6F" w:rsidRPr="00C853BC" w:rsidRDefault="00524B6F" w:rsidP="00C853BC">
    <w:pPr>
      <w:pStyle w:val="En-tte"/>
      <w:rPr>
        <w:lang w:bidi="ar-DZ"/>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BCE71" w14:textId="56B34304" w:rsidR="00524B6F" w:rsidRPr="009F79D5" w:rsidRDefault="00524B6F" w:rsidP="005165F7">
    <w:pPr>
      <w:pStyle w:val="En-tte"/>
      <w:pBdr>
        <w:bottom w:val="thinThickSmallGap" w:sz="24" w:space="1" w:color="E36C0A" w:themeColor="accent6" w:themeShade="BF"/>
      </w:pBdr>
      <w:bidi/>
      <w:rPr>
        <w:rFonts w:ascii="Traditional Arabic" w:hAnsi="Traditional Arabic" w:cs="Traditional Arabic"/>
        <w:b/>
        <w:bCs/>
        <w:sz w:val="36"/>
        <w:szCs w:val="36"/>
        <w:rtl/>
        <w:lang w:bidi="ar-DZ"/>
      </w:rPr>
    </w:pPr>
    <w:r w:rsidRPr="009F79D5">
      <w:rPr>
        <w:rFonts w:ascii="Traditional Arabic" w:hAnsi="Traditional Arabic" w:cs="Traditional Arabic" w:hint="cs"/>
        <w:b/>
        <w:bCs/>
        <w:sz w:val="36"/>
        <w:szCs w:val="36"/>
        <w:rtl/>
      </w:rPr>
      <w:t xml:space="preserve">الفصل </w:t>
    </w:r>
    <w:proofErr w:type="gramStart"/>
    <w:r w:rsidRPr="009F79D5">
      <w:rPr>
        <w:rFonts w:ascii="Traditional Arabic" w:hAnsi="Traditional Arabic" w:cs="Traditional Arabic" w:hint="cs"/>
        <w:b/>
        <w:bCs/>
        <w:sz w:val="36"/>
        <w:szCs w:val="36"/>
        <w:rtl/>
      </w:rPr>
      <w:t>الاول :</w:t>
    </w:r>
    <w:proofErr w:type="gramEnd"/>
    <w:r w:rsidRPr="009F79D5">
      <w:rPr>
        <w:rFonts w:ascii="Traditional Arabic" w:hAnsi="Traditional Arabic" w:cs="Traditional Arabic" w:hint="cs"/>
        <w:b/>
        <w:bCs/>
        <w:sz w:val="36"/>
        <w:szCs w:val="36"/>
        <w:rtl/>
      </w:rPr>
      <w:t xml:space="preserve"> </w:t>
    </w:r>
    <w:r w:rsidR="004B1BB8" w:rsidRPr="004B1BB8">
      <w:rPr>
        <w:rFonts w:ascii="Traditional Arabic" w:hAnsi="Traditional Arabic" w:cs="Traditional Arabic"/>
        <w:b/>
        <w:bCs/>
        <w:sz w:val="36"/>
        <w:szCs w:val="36"/>
        <w:rtl/>
        <w:lang w:bidi="ar-DZ"/>
      </w:rPr>
      <w:t>الإطار النظري للتوريق كآلية لإدارة المخاطر المصرفية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0860" w14:textId="77777777" w:rsidR="00524B6F" w:rsidRPr="006A1F7A" w:rsidRDefault="00524B6F" w:rsidP="006A1F7A">
    <w:pPr>
      <w:pStyle w:val="En-tte"/>
      <w:rPr>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4F425" w14:textId="77777777" w:rsidR="00524B6F" w:rsidRPr="009F79D5" w:rsidRDefault="00524B6F" w:rsidP="00FA65B7">
    <w:pPr>
      <w:pStyle w:val="En-tte"/>
      <w:pBdr>
        <w:bottom w:val="thinThickSmallGap" w:sz="24" w:space="1" w:color="E36C0A" w:themeColor="accent6" w:themeShade="BF"/>
      </w:pBdr>
      <w:jc w:val="right"/>
      <w:rPr>
        <w:rFonts w:ascii="Traditional Arabic" w:hAnsi="Traditional Arabic" w:cs="Traditional Arabic"/>
        <w:b/>
        <w:bCs/>
        <w:sz w:val="36"/>
        <w:szCs w:val="36"/>
        <w:rtl/>
      </w:rPr>
    </w:pPr>
    <w:r w:rsidRPr="009F79D5">
      <w:rPr>
        <w:rFonts w:ascii="Traditional Arabic" w:hAnsi="Traditional Arabic" w:cs="Traditional Arabic"/>
        <w:b/>
        <w:bCs/>
        <w:sz w:val="36"/>
        <w:szCs w:val="36"/>
        <w:rtl/>
      </w:rPr>
      <w:t>الفصل الثاني: التوريق المصرفي في البنك الأهلي السعودي (دراسة حالة)</w:t>
    </w:r>
    <w:r>
      <w:rPr>
        <w:rFonts w:ascii="Traditional Arabic" w:hAnsi="Traditional Arabic" w:cs="Traditional Arabic"/>
        <w:b/>
        <w:bCs/>
        <w:sz w:val="36"/>
        <w:szCs w:val="36"/>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EAE46" w14:textId="77777777" w:rsidR="00524B6F" w:rsidRPr="006A1F7A" w:rsidRDefault="00524B6F" w:rsidP="006A1F7A">
    <w:pPr>
      <w:pStyle w:val="En-tte"/>
      <w:rPr>
        <w:rtl/>
        <w:lang w:bidi="ar-DZ"/>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1D892" w14:textId="77777777" w:rsidR="00524B6F" w:rsidRPr="006A1F7A" w:rsidRDefault="00524B6F" w:rsidP="006A1F7A">
    <w:pPr>
      <w:pStyle w:val="En-tte"/>
      <w:pBdr>
        <w:bottom w:val="thinThickSmallGap" w:sz="24" w:space="1" w:color="E36C0A" w:themeColor="accent6" w:themeShade="BF"/>
      </w:pBdr>
      <w:bidi/>
      <w:rPr>
        <w:rFonts w:ascii="Traditional Arabic" w:hAnsi="Traditional Arabic" w:cs="Traditional Arabic"/>
        <w:b/>
        <w:bCs/>
        <w:sz w:val="36"/>
        <w:szCs w:val="36"/>
        <w:rtl/>
        <w:lang w:bidi="ar-DZ"/>
      </w:rPr>
    </w:pPr>
    <w:r w:rsidRPr="006A1F7A">
      <w:rPr>
        <w:rFonts w:ascii="Traditional Arabic" w:hAnsi="Traditional Arabic" w:cs="Traditional Arabic"/>
        <w:b/>
        <w:bCs/>
        <w:sz w:val="36"/>
        <w:szCs w:val="36"/>
        <w:rtl/>
        <w:lang w:bidi="ar-DZ"/>
      </w:rPr>
      <w:t>الخاتمة</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808A8" w14:textId="77777777" w:rsidR="00524B6F" w:rsidRPr="006A1F7A" w:rsidRDefault="00524B6F" w:rsidP="006A1F7A">
    <w:pPr>
      <w:pStyle w:val="En-tte"/>
      <w:rPr>
        <w:rtl/>
        <w:lang w:bidi="ar-DZ"/>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9ED1" w14:textId="77777777" w:rsidR="00524B6F" w:rsidRPr="00A84008" w:rsidRDefault="00524B6F" w:rsidP="00A84008">
    <w:pPr>
      <w:pStyle w:val="En-tte"/>
      <w:pBdr>
        <w:bottom w:val="thinThickSmallGap" w:sz="24" w:space="1" w:color="E36C0A" w:themeColor="accent6" w:themeShade="BF"/>
      </w:pBdr>
      <w:bidi/>
      <w:rPr>
        <w:rFonts w:ascii="Traditional Arabic" w:hAnsi="Traditional Arabic" w:cs="Traditional Arabic"/>
        <w:b/>
        <w:bCs/>
        <w:sz w:val="36"/>
        <w:szCs w:val="36"/>
        <w:rtl/>
        <w:lang w:bidi="ar-DZ"/>
      </w:rPr>
    </w:pPr>
    <w:r w:rsidRPr="00A84008">
      <w:rPr>
        <w:rFonts w:ascii="Traditional Arabic" w:hAnsi="Traditional Arabic" w:cs="Traditional Arabic"/>
        <w:b/>
        <w:bCs/>
        <w:sz w:val="36"/>
        <w:szCs w:val="36"/>
        <w:rtl/>
        <w:lang w:bidi="ar-DZ"/>
      </w:rPr>
      <w:t xml:space="preserve">قائمة المراجع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A5DD" w14:textId="6F15F1B7" w:rsidR="005E6A27" w:rsidRPr="005E6A27" w:rsidRDefault="005E6A27" w:rsidP="005E6A27">
    <w:pPr>
      <w:pStyle w:val="En-tte"/>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C0ECABCA"/>
    <w:lvl w:ilvl="0">
      <w:numFmt w:val="bullet"/>
      <w:lvlText w:val=""/>
      <w:lvlJc w:val="left"/>
      <w:pPr>
        <w:ind w:left="360" w:hanging="360"/>
      </w:pPr>
      <w:rPr>
        <w:rFonts w:ascii="Symbol" w:hAnsi="Symbol" w:cs="Symbol" w:hint="default"/>
      </w:rPr>
    </w:lvl>
    <w:lvl w:ilv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cs="Wingdings" w:hint="default"/>
      </w:rPr>
    </w:lvl>
    <w:lvl w:ilvl="3">
      <w:numFmt w:val="bullet"/>
      <w:lvlText w:val=""/>
      <w:lvlJc w:val="left"/>
      <w:pPr>
        <w:ind w:left="2520" w:hanging="360"/>
      </w:pPr>
      <w:rPr>
        <w:rFonts w:ascii="Symbol" w:hAnsi="Symbol" w:cs="Symbol" w:hint="default"/>
      </w:rPr>
    </w:lvl>
    <w:lvl w:ilvl="4">
      <w:numFmt w:val="bullet"/>
      <w:lvlText w:val="o"/>
      <w:lvlJc w:val="left"/>
      <w:pPr>
        <w:ind w:left="3240" w:hanging="360"/>
      </w:pPr>
      <w:rPr>
        <w:rFonts w:ascii="Courier New" w:hAnsi="Courier New" w:cs="Courier New" w:hint="default"/>
      </w:rPr>
    </w:lvl>
    <w:lvl w:ilvl="5">
      <w:numFmt w:val="bullet"/>
      <w:lvlText w:val=""/>
      <w:lvlJc w:val="left"/>
      <w:pPr>
        <w:ind w:left="3960" w:hanging="360"/>
      </w:pPr>
      <w:rPr>
        <w:rFonts w:ascii="Wingdings" w:hAnsi="Wingdings" w:cs="Wingdings" w:hint="default"/>
      </w:rPr>
    </w:lvl>
    <w:lvl w:ilvl="6">
      <w:numFmt w:val="bullet"/>
      <w:lvlText w:val=""/>
      <w:lvlJc w:val="left"/>
      <w:pPr>
        <w:ind w:left="4680" w:hanging="360"/>
      </w:pPr>
      <w:rPr>
        <w:rFonts w:ascii="Symbol" w:hAnsi="Symbol" w:cs="Symbol" w:hint="default"/>
      </w:rPr>
    </w:lvl>
    <w:lvl w:ilvl="7">
      <w:numFmt w:val="bullet"/>
      <w:lvlText w:val="o"/>
      <w:lvlJc w:val="left"/>
      <w:pPr>
        <w:ind w:left="5400" w:hanging="360"/>
      </w:pPr>
      <w:rPr>
        <w:rFonts w:ascii="Courier New" w:hAnsi="Courier New" w:cs="Courier New" w:hint="default"/>
      </w:rPr>
    </w:lvl>
    <w:lvl w:ilvl="8">
      <w:numFmt w:val="bullet"/>
      <w:lvlText w:val=""/>
      <w:lvlJc w:val="left"/>
      <w:pPr>
        <w:ind w:left="6120" w:hanging="360"/>
      </w:pPr>
      <w:rPr>
        <w:rFonts w:ascii="Wingdings" w:hAnsi="Wingdings" w:cs="Wingdings" w:hint="default"/>
      </w:rPr>
    </w:lvl>
  </w:abstractNum>
  <w:abstractNum w:abstractNumId="1" w15:restartNumberingAfterBreak="0">
    <w:nsid w:val="00A99411"/>
    <w:multiLevelType w:val="multilevel"/>
    <w:tmpl w:val="35847A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0A99414"/>
    <w:multiLevelType w:val="multilevel"/>
    <w:tmpl w:val="29AC25E8"/>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3" w15:restartNumberingAfterBreak="0">
    <w:nsid w:val="00A99417"/>
    <w:multiLevelType w:val="multilevel"/>
    <w:tmpl w:val="AD30915A"/>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4" w15:restartNumberingAfterBreak="0">
    <w:nsid w:val="031E574A"/>
    <w:multiLevelType w:val="hybridMultilevel"/>
    <w:tmpl w:val="8D5440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39B7DC9"/>
    <w:multiLevelType w:val="multilevel"/>
    <w:tmpl w:val="BDC0F2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F12899"/>
    <w:multiLevelType w:val="hybridMultilevel"/>
    <w:tmpl w:val="68C26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FD6C8A"/>
    <w:multiLevelType w:val="multilevel"/>
    <w:tmpl w:val="F07C68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7BE37F1"/>
    <w:multiLevelType w:val="multilevel"/>
    <w:tmpl w:val="B8BC7B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A10DD8"/>
    <w:multiLevelType w:val="hybridMultilevel"/>
    <w:tmpl w:val="77381F62"/>
    <w:lvl w:ilvl="0" w:tplc="45BA804A">
      <w:start w:val="1"/>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A9A579E"/>
    <w:multiLevelType w:val="multilevel"/>
    <w:tmpl w:val="0B2A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526011"/>
    <w:multiLevelType w:val="multilevel"/>
    <w:tmpl w:val="AD0630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8CC7D04"/>
    <w:multiLevelType w:val="multilevel"/>
    <w:tmpl w:val="AD0630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1FFA6D30"/>
    <w:multiLevelType w:val="multilevel"/>
    <w:tmpl w:val="183C1FF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2863977"/>
    <w:multiLevelType w:val="multilevel"/>
    <w:tmpl w:val="ACE2C8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91532B4"/>
    <w:multiLevelType w:val="multilevel"/>
    <w:tmpl w:val="AD0630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9623E84"/>
    <w:multiLevelType w:val="multilevel"/>
    <w:tmpl w:val="2FD6881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A470E8C"/>
    <w:multiLevelType w:val="multilevel"/>
    <w:tmpl w:val="83364B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0D81744"/>
    <w:multiLevelType w:val="multilevel"/>
    <w:tmpl w:val="8B769A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270339"/>
    <w:multiLevelType w:val="multilevel"/>
    <w:tmpl w:val="C48EF1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973F6B"/>
    <w:multiLevelType w:val="multilevel"/>
    <w:tmpl w:val="6A6635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0173E8"/>
    <w:multiLevelType w:val="multilevel"/>
    <w:tmpl w:val="CFB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E32129"/>
    <w:multiLevelType w:val="multilevel"/>
    <w:tmpl w:val="BA2A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CA3BE6"/>
    <w:multiLevelType w:val="multilevel"/>
    <w:tmpl w:val="2FD6881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39DA1335"/>
    <w:multiLevelType w:val="multilevel"/>
    <w:tmpl w:val="357AE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BF6C84"/>
    <w:multiLevelType w:val="multilevel"/>
    <w:tmpl w:val="8E6E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534050"/>
    <w:multiLevelType w:val="hybridMultilevel"/>
    <w:tmpl w:val="0B400108"/>
    <w:lvl w:ilvl="0" w:tplc="18A6E862">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833850"/>
    <w:multiLevelType w:val="hybridMultilevel"/>
    <w:tmpl w:val="03682A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2423177"/>
    <w:multiLevelType w:val="hybridMultilevel"/>
    <w:tmpl w:val="D7964590"/>
    <w:lvl w:ilvl="0" w:tplc="18A6E862">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5B41BC"/>
    <w:multiLevelType w:val="hybridMultilevel"/>
    <w:tmpl w:val="0414E2E2"/>
    <w:lvl w:ilvl="0" w:tplc="A8B23D9A">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40B0A76"/>
    <w:multiLevelType w:val="multilevel"/>
    <w:tmpl w:val="F2CAB0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466F5647"/>
    <w:multiLevelType w:val="multilevel"/>
    <w:tmpl w:val="183C1FF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47BC4DD0"/>
    <w:multiLevelType w:val="hybridMultilevel"/>
    <w:tmpl w:val="B400DFB4"/>
    <w:lvl w:ilvl="0" w:tplc="18A6E862">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90511FE"/>
    <w:multiLevelType w:val="hybridMultilevel"/>
    <w:tmpl w:val="C5FE56C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9186972"/>
    <w:multiLevelType w:val="multilevel"/>
    <w:tmpl w:val="F07C68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4A490E49"/>
    <w:multiLevelType w:val="multilevel"/>
    <w:tmpl w:val="F07C68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4B0549EF"/>
    <w:multiLevelType w:val="multilevel"/>
    <w:tmpl w:val="514662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2C788D"/>
    <w:multiLevelType w:val="multilevel"/>
    <w:tmpl w:val="FFF2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37977"/>
    <w:multiLevelType w:val="multilevel"/>
    <w:tmpl w:val="446648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4CF9371B"/>
    <w:multiLevelType w:val="multilevel"/>
    <w:tmpl w:val="8CFAC9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4E4B487B"/>
    <w:multiLevelType w:val="multilevel"/>
    <w:tmpl w:val="AAD2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50237E"/>
    <w:multiLevelType w:val="multilevel"/>
    <w:tmpl w:val="9FEA4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55653E30"/>
    <w:multiLevelType w:val="multilevel"/>
    <w:tmpl w:val="CE38C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0645EB"/>
    <w:multiLevelType w:val="multilevel"/>
    <w:tmpl w:val="F65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BD1160"/>
    <w:multiLevelType w:val="hybridMultilevel"/>
    <w:tmpl w:val="9132BF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E87294B"/>
    <w:multiLevelType w:val="multilevel"/>
    <w:tmpl w:val="C9CA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120DA3"/>
    <w:multiLevelType w:val="multilevel"/>
    <w:tmpl w:val="B542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AD0457"/>
    <w:multiLevelType w:val="multilevel"/>
    <w:tmpl w:val="75C68F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730B473C"/>
    <w:multiLevelType w:val="multilevel"/>
    <w:tmpl w:val="36AE3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2F6852"/>
    <w:multiLevelType w:val="multilevel"/>
    <w:tmpl w:val="C3AAE6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76E21407"/>
    <w:multiLevelType w:val="multilevel"/>
    <w:tmpl w:val="057C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AF2C43"/>
    <w:multiLevelType w:val="multilevel"/>
    <w:tmpl w:val="A5AE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DBF6A54"/>
    <w:multiLevelType w:val="multilevel"/>
    <w:tmpl w:val="8CFAC9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7DF043C6"/>
    <w:multiLevelType w:val="multilevel"/>
    <w:tmpl w:val="7840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0852C5"/>
    <w:multiLevelType w:val="multilevel"/>
    <w:tmpl w:val="18F025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14"/>
  </w:num>
  <w:num w:numId="3">
    <w:abstractNumId w:val="17"/>
  </w:num>
  <w:num w:numId="4">
    <w:abstractNumId w:val="38"/>
  </w:num>
  <w:num w:numId="5">
    <w:abstractNumId w:val="37"/>
  </w:num>
  <w:num w:numId="6">
    <w:abstractNumId w:val="10"/>
  </w:num>
  <w:num w:numId="7">
    <w:abstractNumId w:val="24"/>
  </w:num>
  <w:num w:numId="8">
    <w:abstractNumId w:val="49"/>
  </w:num>
  <w:num w:numId="9">
    <w:abstractNumId w:val="18"/>
  </w:num>
  <w:num w:numId="10">
    <w:abstractNumId w:val="50"/>
  </w:num>
  <w:num w:numId="11">
    <w:abstractNumId w:val="46"/>
  </w:num>
  <w:num w:numId="12">
    <w:abstractNumId w:val="53"/>
  </w:num>
  <w:num w:numId="13">
    <w:abstractNumId w:val="43"/>
  </w:num>
  <w:num w:numId="14">
    <w:abstractNumId w:val="48"/>
  </w:num>
  <w:num w:numId="15">
    <w:abstractNumId w:val="30"/>
  </w:num>
  <w:num w:numId="16">
    <w:abstractNumId w:val="40"/>
  </w:num>
  <w:num w:numId="17">
    <w:abstractNumId w:val="42"/>
  </w:num>
  <w:num w:numId="18">
    <w:abstractNumId w:val="45"/>
  </w:num>
  <w:num w:numId="19">
    <w:abstractNumId w:val="22"/>
  </w:num>
  <w:num w:numId="20">
    <w:abstractNumId w:val="21"/>
  </w:num>
  <w:num w:numId="21">
    <w:abstractNumId w:val="20"/>
  </w:num>
  <w:num w:numId="22">
    <w:abstractNumId w:val="47"/>
  </w:num>
  <w:num w:numId="23">
    <w:abstractNumId w:val="36"/>
  </w:num>
  <w:num w:numId="24">
    <w:abstractNumId w:val="8"/>
  </w:num>
  <w:num w:numId="25">
    <w:abstractNumId w:val="19"/>
  </w:num>
  <w:num w:numId="26">
    <w:abstractNumId w:val="54"/>
  </w:num>
  <w:num w:numId="27">
    <w:abstractNumId w:val="51"/>
  </w:num>
  <w:num w:numId="28">
    <w:abstractNumId w:val="25"/>
  </w:num>
  <w:num w:numId="29">
    <w:abstractNumId w:val="5"/>
  </w:num>
  <w:num w:numId="30">
    <w:abstractNumId w:val="15"/>
  </w:num>
  <w:num w:numId="31">
    <w:abstractNumId w:val="52"/>
  </w:num>
  <w:num w:numId="32">
    <w:abstractNumId w:val="52"/>
  </w:num>
  <w:num w:numId="33">
    <w:abstractNumId w:val="52"/>
  </w:num>
  <w:num w:numId="34">
    <w:abstractNumId w:val="35"/>
  </w:num>
  <w:num w:numId="35">
    <w:abstractNumId w:val="7"/>
  </w:num>
  <w:num w:numId="36">
    <w:abstractNumId w:val="23"/>
  </w:num>
  <w:num w:numId="37">
    <w:abstractNumId w:val="23"/>
  </w:num>
  <w:num w:numId="38">
    <w:abstractNumId w:val="31"/>
  </w:num>
  <w:num w:numId="39">
    <w:abstractNumId w:val="33"/>
  </w:num>
  <w:num w:numId="40">
    <w:abstractNumId w:val="32"/>
  </w:num>
  <w:num w:numId="41">
    <w:abstractNumId w:val="28"/>
  </w:num>
  <w:num w:numId="42">
    <w:abstractNumId w:val="26"/>
  </w:num>
  <w:num w:numId="43">
    <w:abstractNumId w:val="12"/>
  </w:num>
  <w:num w:numId="44">
    <w:abstractNumId w:val="11"/>
  </w:num>
  <w:num w:numId="45">
    <w:abstractNumId w:val="39"/>
  </w:num>
  <w:num w:numId="46">
    <w:abstractNumId w:val="4"/>
  </w:num>
  <w:num w:numId="47">
    <w:abstractNumId w:val="34"/>
  </w:num>
  <w:num w:numId="48">
    <w:abstractNumId w:val="16"/>
  </w:num>
  <w:num w:numId="49">
    <w:abstractNumId w:val="13"/>
  </w:num>
  <w:num w:numId="50">
    <w:abstractNumId w:val="9"/>
  </w:num>
  <w:num w:numId="51">
    <w:abstractNumId w:val="0"/>
  </w:num>
  <w:num w:numId="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4">
    <w:abstractNumId w:val="3"/>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55">
    <w:abstractNumId w:val="27"/>
  </w:num>
  <w:num w:numId="56">
    <w:abstractNumId w:val="44"/>
  </w:num>
  <w:num w:numId="57">
    <w:abstractNumId w:val="6"/>
  </w:num>
  <w:num w:numId="58">
    <w:abstractNumId w:val="2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F58"/>
    <w:rsid w:val="00001A06"/>
    <w:rsid w:val="000063E3"/>
    <w:rsid w:val="00011CB3"/>
    <w:rsid w:val="00047884"/>
    <w:rsid w:val="00081565"/>
    <w:rsid w:val="000A77B5"/>
    <w:rsid w:val="000C2BB3"/>
    <w:rsid w:val="000D09CA"/>
    <w:rsid w:val="000D3C8B"/>
    <w:rsid w:val="0011123F"/>
    <w:rsid w:val="001B4D74"/>
    <w:rsid w:val="001D40DD"/>
    <w:rsid w:val="002137CF"/>
    <w:rsid w:val="002178C6"/>
    <w:rsid w:val="00242401"/>
    <w:rsid w:val="00256D6C"/>
    <w:rsid w:val="00282CEF"/>
    <w:rsid w:val="002830A3"/>
    <w:rsid w:val="002A69E9"/>
    <w:rsid w:val="002A7CA7"/>
    <w:rsid w:val="002B1EB2"/>
    <w:rsid w:val="002D237B"/>
    <w:rsid w:val="002F5572"/>
    <w:rsid w:val="00317AAF"/>
    <w:rsid w:val="00317D7C"/>
    <w:rsid w:val="00355E2D"/>
    <w:rsid w:val="003B30B5"/>
    <w:rsid w:val="003B623D"/>
    <w:rsid w:val="0044505A"/>
    <w:rsid w:val="004B1BB8"/>
    <w:rsid w:val="004C0611"/>
    <w:rsid w:val="004F0F0B"/>
    <w:rsid w:val="004F2594"/>
    <w:rsid w:val="004F770A"/>
    <w:rsid w:val="005056B5"/>
    <w:rsid w:val="005165F7"/>
    <w:rsid w:val="00520DEA"/>
    <w:rsid w:val="00524B6F"/>
    <w:rsid w:val="00536794"/>
    <w:rsid w:val="00540437"/>
    <w:rsid w:val="0054673C"/>
    <w:rsid w:val="00546858"/>
    <w:rsid w:val="005548A8"/>
    <w:rsid w:val="00567C56"/>
    <w:rsid w:val="00570A83"/>
    <w:rsid w:val="00575B49"/>
    <w:rsid w:val="00577AA5"/>
    <w:rsid w:val="00584F16"/>
    <w:rsid w:val="00590470"/>
    <w:rsid w:val="005B4E80"/>
    <w:rsid w:val="005C46FA"/>
    <w:rsid w:val="005E2981"/>
    <w:rsid w:val="005E6A27"/>
    <w:rsid w:val="00602A23"/>
    <w:rsid w:val="0062497F"/>
    <w:rsid w:val="006532A8"/>
    <w:rsid w:val="006571C1"/>
    <w:rsid w:val="00666734"/>
    <w:rsid w:val="006A1F7A"/>
    <w:rsid w:val="006C01FD"/>
    <w:rsid w:val="006D75F9"/>
    <w:rsid w:val="006E0D1A"/>
    <w:rsid w:val="007001BA"/>
    <w:rsid w:val="007021DA"/>
    <w:rsid w:val="007113A8"/>
    <w:rsid w:val="00723322"/>
    <w:rsid w:val="007C492E"/>
    <w:rsid w:val="007E114B"/>
    <w:rsid w:val="007E7909"/>
    <w:rsid w:val="007F377C"/>
    <w:rsid w:val="007F569D"/>
    <w:rsid w:val="00804E00"/>
    <w:rsid w:val="00835779"/>
    <w:rsid w:val="0085743E"/>
    <w:rsid w:val="00892187"/>
    <w:rsid w:val="009044C7"/>
    <w:rsid w:val="0091121F"/>
    <w:rsid w:val="0091194F"/>
    <w:rsid w:val="00921A47"/>
    <w:rsid w:val="009248E3"/>
    <w:rsid w:val="00934F62"/>
    <w:rsid w:val="00941C02"/>
    <w:rsid w:val="00970641"/>
    <w:rsid w:val="0097595A"/>
    <w:rsid w:val="00982B00"/>
    <w:rsid w:val="0099106E"/>
    <w:rsid w:val="009A3406"/>
    <w:rsid w:val="009C503B"/>
    <w:rsid w:val="009E005D"/>
    <w:rsid w:val="009F4C19"/>
    <w:rsid w:val="009F79D5"/>
    <w:rsid w:val="00A44DDA"/>
    <w:rsid w:val="00A479E5"/>
    <w:rsid w:val="00A506D7"/>
    <w:rsid w:val="00A84008"/>
    <w:rsid w:val="00A9339F"/>
    <w:rsid w:val="00AB5CCB"/>
    <w:rsid w:val="00AC2A40"/>
    <w:rsid w:val="00AF1617"/>
    <w:rsid w:val="00B04453"/>
    <w:rsid w:val="00B40484"/>
    <w:rsid w:val="00B477FC"/>
    <w:rsid w:val="00B5667B"/>
    <w:rsid w:val="00B7712E"/>
    <w:rsid w:val="00BC4C56"/>
    <w:rsid w:val="00BC5CF6"/>
    <w:rsid w:val="00BC63B2"/>
    <w:rsid w:val="00C67450"/>
    <w:rsid w:val="00C75ADB"/>
    <w:rsid w:val="00C853BC"/>
    <w:rsid w:val="00CD7E6A"/>
    <w:rsid w:val="00CE4DEA"/>
    <w:rsid w:val="00CE4FC7"/>
    <w:rsid w:val="00D429C1"/>
    <w:rsid w:val="00D46F2C"/>
    <w:rsid w:val="00D56D7E"/>
    <w:rsid w:val="00D662F2"/>
    <w:rsid w:val="00D87278"/>
    <w:rsid w:val="00DB0F6F"/>
    <w:rsid w:val="00DB5AD9"/>
    <w:rsid w:val="00DF0B27"/>
    <w:rsid w:val="00E24FF4"/>
    <w:rsid w:val="00E50309"/>
    <w:rsid w:val="00E60F58"/>
    <w:rsid w:val="00E93D17"/>
    <w:rsid w:val="00E95BA0"/>
    <w:rsid w:val="00E968AB"/>
    <w:rsid w:val="00EC24B4"/>
    <w:rsid w:val="00EC593C"/>
    <w:rsid w:val="00ED6172"/>
    <w:rsid w:val="00EE0B13"/>
    <w:rsid w:val="00EE4220"/>
    <w:rsid w:val="00EF51D7"/>
    <w:rsid w:val="00F5637A"/>
    <w:rsid w:val="00F60CEC"/>
    <w:rsid w:val="00F643FC"/>
    <w:rsid w:val="00F75185"/>
    <w:rsid w:val="00F7654D"/>
    <w:rsid w:val="00FA65B7"/>
    <w:rsid w:val="00FB6F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E0381"/>
  <w15:chartTrackingRefBased/>
  <w15:docId w15:val="{AAD3ECDD-D257-4444-87EC-D017FB521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BB8"/>
  </w:style>
  <w:style w:type="paragraph" w:styleId="Titre1">
    <w:name w:val="heading 1"/>
    <w:basedOn w:val="Normal"/>
    <w:link w:val="Titre1Car"/>
    <w:uiPriority w:val="9"/>
    <w:qFormat/>
    <w:rsid w:val="00E60F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E60F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E60F5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next w:val="Normal"/>
    <w:link w:val="Titre4Car"/>
    <w:uiPriority w:val="9"/>
    <w:semiHidden/>
    <w:unhideWhenUsed/>
    <w:qFormat/>
    <w:rsid w:val="007E790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0F58"/>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E60F58"/>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E60F58"/>
    <w:rPr>
      <w:rFonts w:ascii="Times New Roman" w:eastAsia="Times New Roman" w:hAnsi="Times New Roman" w:cs="Times New Roman"/>
      <w:b/>
      <w:bCs/>
      <w:sz w:val="27"/>
      <w:szCs w:val="27"/>
    </w:rPr>
  </w:style>
  <w:style w:type="character" w:styleId="lev">
    <w:name w:val="Strong"/>
    <w:basedOn w:val="Policepardfaut"/>
    <w:uiPriority w:val="22"/>
    <w:qFormat/>
    <w:rsid w:val="00E60F58"/>
    <w:rPr>
      <w:b/>
      <w:bCs/>
    </w:rPr>
  </w:style>
  <w:style w:type="paragraph" w:styleId="NormalWeb">
    <w:name w:val="Normal (Web)"/>
    <w:basedOn w:val="Normal"/>
    <w:uiPriority w:val="99"/>
    <w:semiHidden/>
    <w:unhideWhenUsed/>
    <w:rsid w:val="00E60F58"/>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E60F58"/>
    <w:rPr>
      <w:i/>
      <w:iCs/>
    </w:rPr>
  </w:style>
  <w:style w:type="paragraph" w:styleId="Notedebasdepage">
    <w:name w:val="footnote text"/>
    <w:basedOn w:val="Normal"/>
    <w:link w:val="NotedebasdepageCar"/>
    <w:uiPriority w:val="99"/>
    <w:semiHidden/>
    <w:unhideWhenUsed/>
    <w:rsid w:val="0091194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1194F"/>
    <w:rPr>
      <w:sz w:val="20"/>
      <w:szCs w:val="20"/>
    </w:rPr>
  </w:style>
  <w:style w:type="character" w:styleId="Appelnotedebasdep">
    <w:name w:val="footnote reference"/>
    <w:basedOn w:val="Policepardfaut"/>
    <w:uiPriority w:val="99"/>
    <w:semiHidden/>
    <w:unhideWhenUsed/>
    <w:rsid w:val="0091194F"/>
    <w:rPr>
      <w:vertAlign w:val="superscript"/>
    </w:rPr>
  </w:style>
  <w:style w:type="paragraph" w:styleId="En-tte">
    <w:name w:val="header"/>
    <w:basedOn w:val="Normal"/>
    <w:link w:val="En-tteCar"/>
    <w:uiPriority w:val="99"/>
    <w:unhideWhenUsed/>
    <w:rsid w:val="00E968AB"/>
    <w:pPr>
      <w:tabs>
        <w:tab w:val="center" w:pos="4680"/>
        <w:tab w:val="right" w:pos="9360"/>
      </w:tabs>
      <w:spacing w:after="0" w:line="240" w:lineRule="auto"/>
    </w:pPr>
  </w:style>
  <w:style w:type="character" w:customStyle="1" w:styleId="En-tteCar">
    <w:name w:val="En-tête Car"/>
    <w:basedOn w:val="Policepardfaut"/>
    <w:link w:val="En-tte"/>
    <w:uiPriority w:val="99"/>
    <w:rsid w:val="00E968AB"/>
  </w:style>
  <w:style w:type="paragraph" w:styleId="Pieddepage">
    <w:name w:val="footer"/>
    <w:basedOn w:val="Normal"/>
    <w:link w:val="PieddepageCar"/>
    <w:uiPriority w:val="99"/>
    <w:unhideWhenUsed/>
    <w:rsid w:val="00E968AB"/>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968AB"/>
  </w:style>
  <w:style w:type="paragraph" w:styleId="Paragraphedeliste">
    <w:name w:val="List Paragraph"/>
    <w:aliases w:val="NumberedList,سرد الفقرات"/>
    <w:basedOn w:val="Normal"/>
    <w:link w:val="ParagraphedelisteCar"/>
    <w:uiPriority w:val="34"/>
    <w:qFormat/>
    <w:rsid w:val="0044505A"/>
    <w:pPr>
      <w:ind w:left="720"/>
      <w:contextualSpacing/>
    </w:pPr>
  </w:style>
  <w:style w:type="table" w:styleId="Grilledutableau">
    <w:name w:val="Table Grid"/>
    <w:basedOn w:val="TableauNormal"/>
    <w:uiPriority w:val="39"/>
    <w:rsid w:val="00282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uiPriority w:val="39"/>
    <w:rsid w:val="00282CEF"/>
    <w:pPr>
      <w:spacing w:after="0" w:line="240" w:lineRule="auto"/>
    </w:pPr>
    <w:rPr>
      <w:rFonts w:ascii="Calibri" w:eastAsia="Calibri" w:hAnsi="Calibri" w:cs="Arial"/>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NumberedList Car,سرد الفقرات Car"/>
    <w:link w:val="Paragraphedeliste"/>
    <w:uiPriority w:val="34"/>
    <w:locked/>
    <w:rsid w:val="00282CEF"/>
  </w:style>
  <w:style w:type="character" w:customStyle="1" w:styleId="Titre4Car">
    <w:name w:val="Titre 4 Car"/>
    <w:basedOn w:val="Policepardfaut"/>
    <w:link w:val="Titre4"/>
    <w:uiPriority w:val="9"/>
    <w:semiHidden/>
    <w:rsid w:val="007E7909"/>
    <w:rPr>
      <w:rFonts w:asciiTheme="majorHAnsi" w:eastAsiaTheme="majorEastAsia" w:hAnsiTheme="majorHAnsi" w:cstheme="majorBidi"/>
      <w:i/>
      <w:iCs/>
      <w:color w:val="365F91" w:themeColor="accent1" w:themeShade="BF"/>
    </w:rPr>
  </w:style>
  <w:style w:type="character" w:customStyle="1" w:styleId="citation-85">
    <w:name w:val="citation-85"/>
    <w:basedOn w:val="Policepardfaut"/>
    <w:rsid w:val="00F5637A"/>
  </w:style>
  <w:style w:type="paragraph" w:customStyle="1" w:styleId="SourceCode">
    <w:name w:val="Source Code"/>
    <w:basedOn w:val="Normal"/>
    <w:rsid w:val="0011123F"/>
    <w:pPr>
      <w:wordWrap w:val="0"/>
      <w:spacing w:after="160" w:line="259" w:lineRule="auto"/>
    </w:pPr>
    <w:rPr>
      <w:rFonts w:ascii="Traditional Arabic" w:eastAsia="Traditional Arabic" w:hAnsi="Traditional Arabic" w:cs="Traditional Arabic"/>
      <w:kern w:val="2"/>
      <w:sz w:val="32"/>
      <w:szCs w:val="32"/>
      <w:lang w:val="fr-FR"/>
      <w14:ligatures w14:val="standardContextual"/>
    </w:rPr>
  </w:style>
  <w:style w:type="paragraph" w:styleId="Sansinterligne">
    <w:name w:val="No Spacing"/>
    <w:uiPriority w:val="1"/>
    <w:qFormat/>
    <w:rsid w:val="0011123F"/>
    <w:pPr>
      <w:spacing w:after="0" w:line="240" w:lineRule="auto"/>
    </w:pPr>
  </w:style>
  <w:style w:type="table" w:customStyle="1" w:styleId="Grilledutableau61">
    <w:name w:val="Grille du tableau61"/>
    <w:basedOn w:val="TableauNormal"/>
    <w:uiPriority w:val="39"/>
    <w:rsid w:val="000D09CA"/>
    <w:pPr>
      <w:spacing w:after="0" w:line="240" w:lineRule="auto"/>
    </w:pPr>
    <w:rPr>
      <w:rFonts w:ascii="Calibri" w:eastAsia="Calibri" w:hAnsi="Calibri" w:cs="Arial"/>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2">
    <w:name w:val="Grille du tableau62"/>
    <w:basedOn w:val="TableauNormal"/>
    <w:uiPriority w:val="39"/>
    <w:rsid w:val="000D09CA"/>
    <w:pPr>
      <w:spacing w:after="0" w:line="240" w:lineRule="auto"/>
    </w:pPr>
    <w:rPr>
      <w:rFonts w:ascii="Calibri" w:eastAsia="Calibri" w:hAnsi="Calibri" w:cs="Arial"/>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242401"/>
    <w:pPr>
      <w:spacing w:line="240" w:lineRule="auto"/>
      <w:jc w:val="center"/>
    </w:pPr>
    <w:rPr>
      <w:rFonts w:ascii="Traditional Arabic" w:eastAsia="Traditional Arabic" w:hAnsi="Traditional Arabic" w:cs="Traditional Arabic"/>
      <w:b/>
      <w:bCs/>
      <w:i/>
      <w:iCs/>
      <w:sz w:val="28"/>
      <w:szCs w:val="28"/>
    </w:rPr>
  </w:style>
  <w:style w:type="paragraph" w:styleId="Tabledesillustrations">
    <w:name w:val="table of figures"/>
    <w:basedOn w:val="Normal"/>
    <w:next w:val="Normal"/>
    <w:uiPriority w:val="99"/>
    <w:unhideWhenUsed/>
    <w:rsid w:val="00590470"/>
    <w:pPr>
      <w:spacing w:after="0"/>
    </w:pPr>
  </w:style>
  <w:style w:type="character" w:styleId="Lienhypertexte">
    <w:name w:val="Hyperlink"/>
    <w:basedOn w:val="Policepardfaut"/>
    <w:uiPriority w:val="99"/>
    <w:unhideWhenUsed/>
    <w:rsid w:val="005904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70653">
      <w:bodyDiv w:val="1"/>
      <w:marLeft w:val="0"/>
      <w:marRight w:val="0"/>
      <w:marTop w:val="0"/>
      <w:marBottom w:val="0"/>
      <w:divBdr>
        <w:top w:val="none" w:sz="0" w:space="0" w:color="auto"/>
        <w:left w:val="none" w:sz="0" w:space="0" w:color="auto"/>
        <w:bottom w:val="none" w:sz="0" w:space="0" w:color="auto"/>
        <w:right w:val="none" w:sz="0" w:space="0" w:color="auto"/>
      </w:divBdr>
    </w:div>
    <w:div w:id="241842195">
      <w:bodyDiv w:val="1"/>
      <w:marLeft w:val="0"/>
      <w:marRight w:val="0"/>
      <w:marTop w:val="0"/>
      <w:marBottom w:val="0"/>
      <w:divBdr>
        <w:top w:val="none" w:sz="0" w:space="0" w:color="auto"/>
        <w:left w:val="none" w:sz="0" w:space="0" w:color="auto"/>
        <w:bottom w:val="none" w:sz="0" w:space="0" w:color="auto"/>
        <w:right w:val="none" w:sz="0" w:space="0" w:color="auto"/>
      </w:divBdr>
    </w:div>
    <w:div w:id="262107043">
      <w:bodyDiv w:val="1"/>
      <w:marLeft w:val="0"/>
      <w:marRight w:val="0"/>
      <w:marTop w:val="0"/>
      <w:marBottom w:val="0"/>
      <w:divBdr>
        <w:top w:val="none" w:sz="0" w:space="0" w:color="auto"/>
        <w:left w:val="none" w:sz="0" w:space="0" w:color="auto"/>
        <w:bottom w:val="none" w:sz="0" w:space="0" w:color="auto"/>
        <w:right w:val="none" w:sz="0" w:space="0" w:color="auto"/>
      </w:divBdr>
    </w:div>
    <w:div w:id="307587216">
      <w:bodyDiv w:val="1"/>
      <w:marLeft w:val="0"/>
      <w:marRight w:val="0"/>
      <w:marTop w:val="0"/>
      <w:marBottom w:val="0"/>
      <w:divBdr>
        <w:top w:val="none" w:sz="0" w:space="0" w:color="auto"/>
        <w:left w:val="none" w:sz="0" w:space="0" w:color="auto"/>
        <w:bottom w:val="none" w:sz="0" w:space="0" w:color="auto"/>
        <w:right w:val="none" w:sz="0" w:space="0" w:color="auto"/>
      </w:divBdr>
    </w:div>
    <w:div w:id="367099353">
      <w:bodyDiv w:val="1"/>
      <w:marLeft w:val="0"/>
      <w:marRight w:val="0"/>
      <w:marTop w:val="0"/>
      <w:marBottom w:val="0"/>
      <w:divBdr>
        <w:top w:val="none" w:sz="0" w:space="0" w:color="auto"/>
        <w:left w:val="none" w:sz="0" w:space="0" w:color="auto"/>
        <w:bottom w:val="none" w:sz="0" w:space="0" w:color="auto"/>
        <w:right w:val="none" w:sz="0" w:space="0" w:color="auto"/>
      </w:divBdr>
    </w:div>
    <w:div w:id="425424457">
      <w:bodyDiv w:val="1"/>
      <w:marLeft w:val="0"/>
      <w:marRight w:val="0"/>
      <w:marTop w:val="0"/>
      <w:marBottom w:val="0"/>
      <w:divBdr>
        <w:top w:val="none" w:sz="0" w:space="0" w:color="auto"/>
        <w:left w:val="none" w:sz="0" w:space="0" w:color="auto"/>
        <w:bottom w:val="none" w:sz="0" w:space="0" w:color="auto"/>
        <w:right w:val="none" w:sz="0" w:space="0" w:color="auto"/>
      </w:divBdr>
    </w:div>
    <w:div w:id="448821453">
      <w:bodyDiv w:val="1"/>
      <w:marLeft w:val="0"/>
      <w:marRight w:val="0"/>
      <w:marTop w:val="0"/>
      <w:marBottom w:val="0"/>
      <w:divBdr>
        <w:top w:val="none" w:sz="0" w:space="0" w:color="auto"/>
        <w:left w:val="none" w:sz="0" w:space="0" w:color="auto"/>
        <w:bottom w:val="none" w:sz="0" w:space="0" w:color="auto"/>
        <w:right w:val="none" w:sz="0" w:space="0" w:color="auto"/>
      </w:divBdr>
    </w:div>
    <w:div w:id="453141142">
      <w:bodyDiv w:val="1"/>
      <w:marLeft w:val="0"/>
      <w:marRight w:val="0"/>
      <w:marTop w:val="0"/>
      <w:marBottom w:val="0"/>
      <w:divBdr>
        <w:top w:val="none" w:sz="0" w:space="0" w:color="auto"/>
        <w:left w:val="none" w:sz="0" w:space="0" w:color="auto"/>
        <w:bottom w:val="none" w:sz="0" w:space="0" w:color="auto"/>
        <w:right w:val="none" w:sz="0" w:space="0" w:color="auto"/>
      </w:divBdr>
    </w:div>
    <w:div w:id="503057380">
      <w:bodyDiv w:val="1"/>
      <w:marLeft w:val="0"/>
      <w:marRight w:val="0"/>
      <w:marTop w:val="0"/>
      <w:marBottom w:val="0"/>
      <w:divBdr>
        <w:top w:val="none" w:sz="0" w:space="0" w:color="auto"/>
        <w:left w:val="none" w:sz="0" w:space="0" w:color="auto"/>
        <w:bottom w:val="none" w:sz="0" w:space="0" w:color="auto"/>
        <w:right w:val="none" w:sz="0" w:space="0" w:color="auto"/>
      </w:divBdr>
    </w:div>
    <w:div w:id="514198148">
      <w:bodyDiv w:val="1"/>
      <w:marLeft w:val="0"/>
      <w:marRight w:val="0"/>
      <w:marTop w:val="0"/>
      <w:marBottom w:val="0"/>
      <w:divBdr>
        <w:top w:val="none" w:sz="0" w:space="0" w:color="auto"/>
        <w:left w:val="none" w:sz="0" w:space="0" w:color="auto"/>
        <w:bottom w:val="none" w:sz="0" w:space="0" w:color="auto"/>
        <w:right w:val="none" w:sz="0" w:space="0" w:color="auto"/>
      </w:divBdr>
      <w:divsChild>
        <w:div w:id="1388988035">
          <w:marLeft w:val="0"/>
          <w:marRight w:val="0"/>
          <w:marTop w:val="0"/>
          <w:marBottom w:val="0"/>
          <w:divBdr>
            <w:top w:val="none" w:sz="0" w:space="0" w:color="auto"/>
            <w:left w:val="none" w:sz="0" w:space="0" w:color="auto"/>
            <w:bottom w:val="none" w:sz="0" w:space="0" w:color="auto"/>
            <w:right w:val="none" w:sz="0" w:space="0" w:color="auto"/>
          </w:divBdr>
          <w:divsChild>
            <w:div w:id="913709620">
              <w:marLeft w:val="0"/>
              <w:marRight w:val="0"/>
              <w:marTop w:val="0"/>
              <w:marBottom w:val="0"/>
              <w:divBdr>
                <w:top w:val="none" w:sz="0" w:space="0" w:color="auto"/>
                <w:left w:val="none" w:sz="0" w:space="0" w:color="auto"/>
                <w:bottom w:val="none" w:sz="0" w:space="0" w:color="auto"/>
                <w:right w:val="none" w:sz="0" w:space="0" w:color="auto"/>
              </w:divBdr>
              <w:divsChild>
                <w:div w:id="1009601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15916317">
      <w:bodyDiv w:val="1"/>
      <w:marLeft w:val="0"/>
      <w:marRight w:val="0"/>
      <w:marTop w:val="0"/>
      <w:marBottom w:val="0"/>
      <w:divBdr>
        <w:top w:val="none" w:sz="0" w:space="0" w:color="auto"/>
        <w:left w:val="none" w:sz="0" w:space="0" w:color="auto"/>
        <w:bottom w:val="none" w:sz="0" w:space="0" w:color="auto"/>
        <w:right w:val="none" w:sz="0" w:space="0" w:color="auto"/>
      </w:divBdr>
    </w:div>
    <w:div w:id="626661155">
      <w:bodyDiv w:val="1"/>
      <w:marLeft w:val="0"/>
      <w:marRight w:val="0"/>
      <w:marTop w:val="0"/>
      <w:marBottom w:val="0"/>
      <w:divBdr>
        <w:top w:val="none" w:sz="0" w:space="0" w:color="auto"/>
        <w:left w:val="none" w:sz="0" w:space="0" w:color="auto"/>
        <w:bottom w:val="none" w:sz="0" w:space="0" w:color="auto"/>
        <w:right w:val="none" w:sz="0" w:space="0" w:color="auto"/>
      </w:divBdr>
    </w:div>
    <w:div w:id="662201175">
      <w:bodyDiv w:val="1"/>
      <w:marLeft w:val="0"/>
      <w:marRight w:val="0"/>
      <w:marTop w:val="0"/>
      <w:marBottom w:val="0"/>
      <w:divBdr>
        <w:top w:val="none" w:sz="0" w:space="0" w:color="auto"/>
        <w:left w:val="none" w:sz="0" w:space="0" w:color="auto"/>
        <w:bottom w:val="none" w:sz="0" w:space="0" w:color="auto"/>
        <w:right w:val="none" w:sz="0" w:space="0" w:color="auto"/>
      </w:divBdr>
      <w:divsChild>
        <w:div w:id="455031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2339853">
      <w:bodyDiv w:val="1"/>
      <w:marLeft w:val="0"/>
      <w:marRight w:val="0"/>
      <w:marTop w:val="0"/>
      <w:marBottom w:val="0"/>
      <w:divBdr>
        <w:top w:val="none" w:sz="0" w:space="0" w:color="auto"/>
        <w:left w:val="none" w:sz="0" w:space="0" w:color="auto"/>
        <w:bottom w:val="none" w:sz="0" w:space="0" w:color="auto"/>
        <w:right w:val="none" w:sz="0" w:space="0" w:color="auto"/>
      </w:divBdr>
    </w:div>
    <w:div w:id="706174089">
      <w:bodyDiv w:val="1"/>
      <w:marLeft w:val="0"/>
      <w:marRight w:val="0"/>
      <w:marTop w:val="0"/>
      <w:marBottom w:val="0"/>
      <w:divBdr>
        <w:top w:val="none" w:sz="0" w:space="0" w:color="auto"/>
        <w:left w:val="none" w:sz="0" w:space="0" w:color="auto"/>
        <w:bottom w:val="none" w:sz="0" w:space="0" w:color="auto"/>
        <w:right w:val="none" w:sz="0" w:space="0" w:color="auto"/>
      </w:divBdr>
    </w:div>
    <w:div w:id="749424351">
      <w:bodyDiv w:val="1"/>
      <w:marLeft w:val="0"/>
      <w:marRight w:val="0"/>
      <w:marTop w:val="0"/>
      <w:marBottom w:val="0"/>
      <w:divBdr>
        <w:top w:val="none" w:sz="0" w:space="0" w:color="auto"/>
        <w:left w:val="none" w:sz="0" w:space="0" w:color="auto"/>
        <w:bottom w:val="none" w:sz="0" w:space="0" w:color="auto"/>
        <w:right w:val="none" w:sz="0" w:space="0" w:color="auto"/>
      </w:divBdr>
    </w:div>
    <w:div w:id="760368751">
      <w:bodyDiv w:val="1"/>
      <w:marLeft w:val="0"/>
      <w:marRight w:val="0"/>
      <w:marTop w:val="0"/>
      <w:marBottom w:val="0"/>
      <w:divBdr>
        <w:top w:val="none" w:sz="0" w:space="0" w:color="auto"/>
        <w:left w:val="none" w:sz="0" w:space="0" w:color="auto"/>
        <w:bottom w:val="none" w:sz="0" w:space="0" w:color="auto"/>
        <w:right w:val="none" w:sz="0" w:space="0" w:color="auto"/>
      </w:divBdr>
    </w:div>
    <w:div w:id="809596093">
      <w:bodyDiv w:val="1"/>
      <w:marLeft w:val="0"/>
      <w:marRight w:val="0"/>
      <w:marTop w:val="0"/>
      <w:marBottom w:val="0"/>
      <w:divBdr>
        <w:top w:val="none" w:sz="0" w:space="0" w:color="auto"/>
        <w:left w:val="none" w:sz="0" w:space="0" w:color="auto"/>
        <w:bottom w:val="none" w:sz="0" w:space="0" w:color="auto"/>
        <w:right w:val="none" w:sz="0" w:space="0" w:color="auto"/>
      </w:divBdr>
    </w:div>
    <w:div w:id="810555900">
      <w:bodyDiv w:val="1"/>
      <w:marLeft w:val="0"/>
      <w:marRight w:val="0"/>
      <w:marTop w:val="0"/>
      <w:marBottom w:val="0"/>
      <w:divBdr>
        <w:top w:val="none" w:sz="0" w:space="0" w:color="auto"/>
        <w:left w:val="none" w:sz="0" w:space="0" w:color="auto"/>
        <w:bottom w:val="none" w:sz="0" w:space="0" w:color="auto"/>
        <w:right w:val="none" w:sz="0" w:space="0" w:color="auto"/>
      </w:divBdr>
    </w:div>
    <w:div w:id="858473805">
      <w:bodyDiv w:val="1"/>
      <w:marLeft w:val="0"/>
      <w:marRight w:val="0"/>
      <w:marTop w:val="0"/>
      <w:marBottom w:val="0"/>
      <w:divBdr>
        <w:top w:val="none" w:sz="0" w:space="0" w:color="auto"/>
        <w:left w:val="none" w:sz="0" w:space="0" w:color="auto"/>
        <w:bottom w:val="none" w:sz="0" w:space="0" w:color="auto"/>
        <w:right w:val="none" w:sz="0" w:space="0" w:color="auto"/>
      </w:divBdr>
    </w:div>
    <w:div w:id="1061833178">
      <w:bodyDiv w:val="1"/>
      <w:marLeft w:val="0"/>
      <w:marRight w:val="0"/>
      <w:marTop w:val="0"/>
      <w:marBottom w:val="0"/>
      <w:divBdr>
        <w:top w:val="none" w:sz="0" w:space="0" w:color="auto"/>
        <w:left w:val="none" w:sz="0" w:space="0" w:color="auto"/>
        <w:bottom w:val="none" w:sz="0" w:space="0" w:color="auto"/>
        <w:right w:val="none" w:sz="0" w:space="0" w:color="auto"/>
      </w:divBdr>
    </w:div>
    <w:div w:id="1176993521">
      <w:bodyDiv w:val="1"/>
      <w:marLeft w:val="0"/>
      <w:marRight w:val="0"/>
      <w:marTop w:val="0"/>
      <w:marBottom w:val="0"/>
      <w:divBdr>
        <w:top w:val="none" w:sz="0" w:space="0" w:color="auto"/>
        <w:left w:val="none" w:sz="0" w:space="0" w:color="auto"/>
        <w:bottom w:val="none" w:sz="0" w:space="0" w:color="auto"/>
        <w:right w:val="none" w:sz="0" w:space="0" w:color="auto"/>
      </w:divBdr>
    </w:div>
    <w:div w:id="1196651932">
      <w:bodyDiv w:val="1"/>
      <w:marLeft w:val="0"/>
      <w:marRight w:val="0"/>
      <w:marTop w:val="0"/>
      <w:marBottom w:val="0"/>
      <w:divBdr>
        <w:top w:val="none" w:sz="0" w:space="0" w:color="auto"/>
        <w:left w:val="none" w:sz="0" w:space="0" w:color="auto"/>
        <w:bottom w:val="none" w:sz="0" w:space="0" w:color="auto"/>
        <w:right w:val="none" w:sz="0" w:space="0" w:color="auto"/>
      </w:divBdr>
    </w:div>
    <w:div w:id="1221674865">
      <w:bodyDiv w:val="1"/>
      <w:marLeft w:val="0"/>
      <w:marRight w:val="0"/>
      <w:marTop w:val="0"/>
      <w:marBottom w:val="0"/>
      <w:divBdr>
        <w:top w:val="none" w:sz="0" w:space="0" w:color="auto"/>
        <w:left w:val="none" w:sz="0" w:space="0" w:color="auto"/>
        <w:bottom w:val="none" w:sz="0" w:space="0" w:color="auto"/>
        <w:right w:val="none" w:sz="0" w:space="0" w:color="auto"/>
      </w:divBdr>
    </w:div>
    <w:div w:id="1266225960">
      <w:bodyDiv w:val="1"/>
      <w:marLeft w:val="0"/>
      <w:marRight w:val="0"/>
      <w:marTop w:val="0"/>
      <w:marBottom w:val="0"/>
      <w:divBdr>
        <w:top w:val="none" w:sz="0" w:space="0" w:color="auto"/>
        <w:left w:val="none" w:sz="0" w:space="0" w:color="auto"/>
        <w:bottom w:val="none" w:sz="0" w:space="0" w:color="auto"/>
        <w:right w:val="none" w:sz="0" w:space="0" w:color="auto"/>
      </w:divBdr>
    </w:div>
    <w:div w:id="1345127577">
      <w:bodyDiv w:val="1"/>
      <w:marLeft w:val="0"/>
      <w:marRight w:val="0"/>
      <w:marTop w:val="0"/>
      <w:marBottom w:val="0"/>
      <w:divBdr>
        <w:top w:val="none" w:sz="0" w:space="0" w:color="auto"/>
        <w:left w:val="none" w:sz="0" w:space="0" w:color="auto"/>
        <w:bottom w:val="none" w:sz="0" w:space="0" w:color="auto"/>
        <w:right w:val="none" w:sz="0" w:space="0" w:color="auto"/>
      </w:divBdr>
    </w:div>
    <w:div w:id="1382631629">
      <w:bodyDiv w:val="1"/>
      <w:marLeft w:val="0"/>
      <w:marRight w:val="0"/>
      <w:marTop w:val="0"/>
      <w:marBottom w:val="0"/>
      <w:divBdr>
        <w:top w:val="none" w:sz="0" w:space="0" w:color="auto"/>
        <w:left w:val="none" w:sz="0" w:space="0" w:color="auto"/>
        <w:bottom w:val="none" w:sz="0" w:space="0" w:color="auto"/>
        <w:right w:val="none" w:sz="0" w:space="0" w:color="auto"/>
      </w:divBdr>
    </w:div>
    <w:div w:id="1495142741">
      <w:bodyDiv w:val="1"/>
      <w:marLeft w:val="0"/>
      <w:marRight w:val="0"/>
      <w:marTop w:val="0"/>
      <w:marBottom w:val="0"/>
      <w:divBdr>
        <w:top w:val="none" w:sz="0" w:space="0" w:color="auto"/>
        <w:left w:val="none" w:sz="0" w:space="0" w:color="auto"/>
        <w:bottom w:val="none" w:sz="0" w:space="0" w:color="auto"/>
        <w:right w:val="none" w:sz="0" w:space="0" w:color="auto"/>
      </w:divBdr>
      <w:divsChild>
        <w:div w:id="624895601">
          <w:marLeft w:val="0"/>
          <w:marRight w:val="0"/>
          <w:marTop w:val="0"/>
          <w:marBottom w:val="0"/>
          <w:divBdr>
            <w:top w:val="none" w:sz="0" w:space="0" w:color="auto"/>
            <w:left w:val="none" w:sz="0" w:space="0" w:color="auto"/>
            <w:bottom w:val="none" w:sz="0" w:space="0" w:color="auto"/>
            <w:right w:val="none" w:sz="0" w:space="0" w:color="auto"/>
          </w:divBdr>
          <w:divsChild>
            <w:div w:id="1351761238">
              <w:marLeft w:val="0"/>
              <w:marRight w:val="0"/>
              <w:marTop w:val="0"/>
              <w:marBottom w:val="0"/>
              <w:divBdr>
                <w:top w:val="none" w:sz="0" w:space="0" w:color="auto"/>
                <w:left w:val="none" w:sz="0" w:space="0" w:color="auto"/>
                <w:bottom w:val="none" w:sz="0" w:space="0" w:color="auto"/>
                <w:right w:val="none" w:sz="0" w:space="0" w:color="auto"/>
              </w:divBdr>
            </w:div>
          </w:divsChild>
        </w:div>
        <w:div w:id="2048262560">
          <w:marLeft w:val="0"/>
          <w:marRight w:val="0"/>
          <w:marTop w:val="0"/>
          <w:marBottom w:val="0"/>
          <w:divBdr>
            <w:top w:val="none" w:sz="0" w:space="0" w:color="auto"/>
            <w:left w:val="none" w:sz="0" w:space="0" w:color="auto"/>
            <w:bottom w:val="none" w:sz="0" w:space="0" w:color="auto"/>
            <w:right w:val="none" w:sz="0" w:space="0" w:color="auto"/>
          </w:divBdr>
          <w:divsChild>
            <w:div w:id="212546834">
              <w:marLeft w:val="0"/>
              <w:marRight w:val="0"/>
              <w:marTop w:val="0"/>
              <w:marBottom w:val="0"/>
              <w:divBdr>
                <w:top w:val="none" w:sz="0" w:space="0" w:color="auto"/>
                <w:left w:val="none" w:sz="0" w:space="0" w:color="auto"/>
                <w:bottom w:val="none" w:sz="0" w:space="0" w:color="auto"/>
                <w:right w:val="none" w:sz="0" w:space="0" w:color="auto"/>
              </w:divBdr>
              <w:divsChild>
                <w:div w:id="1835491618">
                  <w:marLeft w:val="0"/>
                  <w:marRight w:val="0"/>
                  <w:marTop w:val="0"/>
                  <w:marBottom w:val="0"/>
                  <w:divBdr>
                    <w:top w:val="none" w:sz="0" w:space="0" w:color="auto"/>
                    <w:left w:val="none" w:sz="0" w:space="0" w:color="auto"/>
                    <w:bottom w:val="none" w:sz="0" w:space="0" w:color="auto"/>
                    <w:right w:val="none" w:sz="0" w:space="0" w:color="auto"/>
                  </w:divBdr>
                  <w:divsChild>
                    <w:div w:id="1344282076">
                      <w:marLeft w:val="0"/>
                      <w:marRight w:val="0"/>
                      <w:marTop w:val="0"/>
                      <w:marBottom w:val="0"/>
                      <w:divBdr>
                        <w:top w:val="none" w:sz="0" w:space="0" w:color="auto"/>
                        <w:left w:val="none" w:sz="0" w:space="0" w:color="auto"/>
                        <w:bottom w:val="none" w:sz="0" w:space="0" w:color="auto"/>
                        <w:right w:val="none" w:sz="0" w:space="0" w:color="auto"/>
                      </w:divBdr>
                    </w:div>
                    <w:div w:id="28103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658616">
      <w:bodyDiv w:val="1"/>
      <w:marLeft w:val="0"/>
      <w:marRight w:val="0"/>
      <w:marTop w:val="0"/>
      <w:marBottom w:val="0"/>
      <w:divBdr>
        <w:top w:val="none" w:sz="0" w:space="0" w:color="auto"/>
        <w:left w:val="none" w:sz="0" w:space="0" w:color="auto"/>
        <w:bottom w:val="none" w:sz="0" w:space="0" w:color="auto"/>
        <w:right w:val="none" w:sz="0" w:space="0" w:color="auto"/>
      </w:divBdr>
    </w:div>
    <w:div w:id="1602879831">
      <w:bodyDiv w:val="1"/>
      <w:marLeft w:val="0"/>
      <w:marRight w:val="0"/>
      <w:marTop w:val="0"/>
      <w:marBottom w:val="0"/>
      <w:divBdr>
        <w:top w:val="none" w:sz="0" w:space="0" w:color="auto"/>
        <w:left w:val="none" w:sz="0" w:space="0" w:color="auto"/>
        <w:bottom w:val="none" w:sz="0" w:space="0" w:color="auto"/>
        <w:right w:val="none" w:sz="0" w:space="0" w:color="auto"/>
      </w:divBdr>
    </w:div>
    <w:div w:id="1729188195">
      <w:bodyDiv w:val="1"/>
      <w:marLeft w:val="0"/>
      <w:marRight w:val="0"/>
      <w:marTop w:val="0"/>
      <w:marBottom w:val="0"/>
      <w:divBdr>
        <w:top w:val="none" w:sz="0" w:space="0" w:color="auto"/>
        <w:left w:val="none" w:sz="0" w:space="0" w:color="auto"/>
        <w:bottom w:val="none" w:sz="0" w:space="0" w:color="auto"/>
        <w:right w:val="none" w:sz="0" w:space="0" w:color="auto"/>
      </w:divBdr>
    </w:div>
    <w:div w:id="1870529265">
      <w:bodyDiv w:val="1"/>
      <w:marLeft w:val="0"/>
      <w:marRight w:val="0"/>
      <w:marTop w:val="0"/>
      <w:marBottom w:val="0"/>
      <w:divBdr>
        <w:top w:val="none" w:sz="0" w:space="0" w:color="auto"/>
        <w:left w:val="none" w:sz="0" w:space="0" w:color="auto"/>
        <w:bottom w:val="none" w:sz="0" w:space="0" w:color="auto"/>
        <w:right w:val="none" w:sz="0" w:space="0" w:color="auto"/>
      </w:divBdr>
    </w:div>
    <w:div w:id="189060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4.xml"/><Relationship Id="rId26" Type="http://schemas.openxmlformats.org/officeDocument/2006/relationships/image" Target="media/image2.png"/><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8.xml"/><Relationship Id="rId34" Type="http://schemas.microsoft.com/office/2007/relationships/hdphoto" Target="media/hdphoto3.wdp"/><Relationship Id="rId42" Type="http://schemas.openxmlformats.org/officeDocument/2006/relationships/header" Target="header10.xml"/><Relationship Id="rId47" Type="http://schemas.openxmlformats.org/officeDocument/2006/relationships/header" Target="header12.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image" Target="media/image5.png"/><Relationship Id="rId38" Type="http://schemas.openxmlformats.org/officeDocument/2006/relationships/header" Target="header8.xml"/><Relationship Id="rId46"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hart" Target="charts/chart1.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image" Target="media/image7.png"/><Relationship Id="rId40" Type="http://schemas.openxmlformats.org/officeDocument/2006/relationships/header" Target="header9.xml"/><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1.xml"/><Relationship Id="rId36" Type="http://schemas.microsoft.com/office/2007/relationships/hdphoto" Target="media/hdphoto4.wdp"/><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7.xml"/><Relationship Id="rId31" Type="http://schemas.microsoft.com/office/2007/relationships/hdphoto" Target="media/hdphoto2.wdp"/><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eader" Target="header6.xml"/><Relationship Id="rId27" Type="http://schemas.microsoft.com/office/2007/relationships/hdphoto" Target="media/hdphoto1.wdp"/><Relationship Id="rId30" Type="http://schemas.openxmlformats.org/officeDocument/2006/relationships/image" Target="media/image3.png"/><Relationship Id="rId35" Type="http://schemas.openxmlformats.org/officeDocument/2006/relationships/image" Target="media/image6.png"/><Relationship Id="rId43" Type="http://schemas.openxmlformats.org/officeDocument/2006/relationships/footer" Target="footer14.xml"/><Relationship Id="rId48" Type="http://schemas.openxmlformats.org/officeDocument/2006/relationships/footer" Target="footer16.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التوزيع النسبي للأصول المورّقة</c:v>
                </c:pt>
              </c:strCache>
            </c:strRef>
          </c:tx>
          <c:spPr>
            <a:solidFill>
              <a:schemeClr val="accent1"/>
            </a:solidFill>
            <a:ln>
              <a:noFill/>
            </a:ln>
            <a:effectLst/>
          </c:spPr>
          <c:invertIfNegative val="0"/>
          <c:cat>
            <c:strRef>
              <c:f>Feuil1!$A$2:$A$5</c:f>
              <c:strCache>
                <c:ptCount val="4"/>
                <c:pt idx="0">
                  <c:v>التمويل العقاري</c:v>
                </c:pt>
                <c:pt idx="1">
                  <c:v>المشاريع الصغيرة</c:v>
                </c:pt>
                <c:pt idx="2">
                  <c:v>تمويل السيارات        </c:v>
                </c:pt>
                <c:pt idx="3">
                  <c:v>قروض شخصية           </c:v>
                </c:pt>
              </c:strCache>
            </c:strRef>
          </c:cat>
          <c:val>
            <c:numRef>
              <c:f>Feuil1!$B$2:$B$5</c:f>
              <c:numCache>
                <c:formatCode>0%</c:formatCode>
                <c:ptCount val="4"/>
                <c:pt idx="0" formatCode="0.00%">
                  <c:v>0.47299999999999998</c:v>
                </c:pt>
                <c:pt idx="1">
                  <c:v>0.26</c:v>
                </c:pt>
                <c:pt idx="2">
                  <c:v>0.17</c:v>
                </c:pt>
                <c:pt idx="3" formatCode="0.00%">
                  <c:v>9.7000000000000003E-2</c:v>
                </c:pt>
              </c:numCache>
            </c:numRef>
          </c:val>
          <c:extLst>
            <c:ext xmlns:c16="http://schemas.microsoft.com/office/drawing/2014/chart" uri="{C3380CC4-5D6E-409C-BE32-E72D297353CC}">
              <c16:uniqueId val="{00000000-9A3F-4D73-9670-E87F59C86B5A}"/>
            </c:ext>
          </c:extLst>
        </c:ser>
        <c:ser>
          <c:idx val="1"/>
          <c:order val="1"/>
          <c:tx>
            <c:strRef>
              <c:f>Feuil1!$C$1</c:f>
              <c:strCache>
                <c:ptCount val="1"/>
                <c:pt idx="0">
                  <c:v>Colonne1</c:v>
                </c:pt>
              </c:strCache>
            </c:strRef>
          </c:tx>
          <c:spPr>
            <a:solidFill>
              <a:schemeClr val="accent2"/>
            </a:solidFill>
            <a:ln>
              <a:noFill/>
            </a:ln>
            <a:effectLst/>
          </c:spPr>
          <c:invertIfNegative val="0"/>
          <c:cat>
            <c:strRef>
              <c:f>Feuil1!$A$2:$A$5</c:f>
              <c:strCache>
                <c:ptCount val="4"/>
                <c:pt idx="0">
                  <c:v>التمويل العقاري</c:v>
                </c:pt>
                <c:pt idx="1">
                  <c:v>المشاريع الصغيرة</c:v>
                </c:pt>
                <c:pt idx="2">
                  <c:v>تمويل السيارات        </c:v>
                </c:pt>
                <c:pt idx="3">
                  <c:v>قروض شخصية           </c:v>
                </c:pt>
              </c:strCache>
            </c:strRef>
          </c:cat>
          <c:val>
            <c:numRef>
              <c:f>Feuil1!$C$2:$C$5</c:f>
            </c:numRef>
          </c:val>
          <c:extLst>
            <c:ext xmlns:c16="http://schemas.microsoft.com/office/drawing/2014/chart" uri="{C3380CC4-5D6E-409C-BE32-E72D297353CC}">
              <c16:uniqueId val="{00000001-9A3F-4D73-9670-E87F59C86B5A}"/>
            </c:ext>
          </c:extLst>
        </c:ser>
        <c:dLbls>
          <c:showLegendKey val="0"/>
          <c:showVal val="0"/>
          <c:showCatName val="0"/>
          <c:showSerName val="0"/>
          <c:showPercent val="0"/>
          <c:showBubbleSize val="0"/>
        </c:dLbls>
        <c:gapWidth val="219"/>
        <c:overlap val="-27"/>
        <c:axId val="394320408"/>
        <c:axId val="394320736"/>
      </c:barChart>
      <c:catAx>
        <c:axId val="394320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94320736"/>
        <c:crosses val="autoZero"/>
        <c:auto val="1"/>
        <c:lblAlgn val="ctr"/>
        <c:lblOffset val="100"/>
        <c:noMultiLvlLbl val="0"/>
      </c:catAx>
      <c:valAx>
        <c:axId val="3943207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94320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FE364-0D6E-4681-A7A6-6AE718B8F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660</TotalTime>
  <Pages>1</Pages>
  <Words>16140</Words>
  <Characters>88774</Characters>
  <Application>Microsoft Office Word</Application>
  <DocSecurity>0</DocSecurity>
  <Lines>739</Lines>
  <Paragraphs>209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BekIri</dc:creator>
  <cp:keywords/>
  <dc:description/>
  <cp:lastModifiedBy>EL Quds Service</cp:lastModifiedBy>
  <cp:revision>98</cp:revision>
  <cp:lastPrinted>2026-06-24T10:04:00Z</cp:lastPrinted>
  <dcterms:created xsi:type="dcterms:W3CDTF">2026-05-09T11:58:00Z</dcterms:created>
  <dcterms:modified xsi:type="dcterms:W3CDTF">2026-06-24T10:05:00Z</dcterms:modified>
</cp:coreProperties>
</file>